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74F9" w14:textId="24A4DCCE" w:rsidR="00CC5E7B" w:rsidRPr="00CC5E7B" w:rsidRDefault="00CC5E7B" w:rsidP="00A37199">
      <w:pPr>
        <w:pStyle w:val="paragraph"/>
        <w:spacing w:before="0" w:beforeAutospacing="0" w:after="0" w:afterAutospacing="0"/>
        <w:ind w:left="142"/>
        <w:textAlignment w:val="baseline"/>
        <w:rPr>
          <w:rFonts w:ascii="Century Gothic" w:hAnsi="Century Gothic"/>
          <w:b/>
          <w:bCs/>
          <w:sz w:val="6"/>
          <w:szCs w:val="6"/>
        </w:rPr>
      </w:pPr>
    </w:p>
    <w:p w14:paraId="5472B517" w14:textId="236D1006" w:rsidR="00190213" w:rsidRPr="003F364C" w:rsidRDefault="00A23320" w:rsidP="00690A3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AD7D" w:themeFill="accent5" w:themeFillTint="99"/>
        <w:spacing w:before="0" w:beforeAutospacing="0" w:after="0" w:afterAutospacing="0"/>
        <w:ind w:left="142"/>
        <w:textAlignment w:val="baseline"/>
        <w:rPr>
          <w:rFonts w:ascii="Century Gothic" w:hAnsi="Century Gothic" w:cs="Segoe UI"/>
          <w:b/>
          <w:bCs/>
          <w:caps/>
          <w:sz w:val="23"/>
          <w:szCs w:val="23"/>
        </w:rPr>
      </w:pPr>
      <w:r w:rsidRPr="003F364C">
        <w:rPr>
          <w:rFonts w:ascii="Century Gothic" w:hAnsi="Century Gothic"/>
          <w:b/>
          <w:bCs/>
          <w:caps/>
        </w:rPr>
        <w:t xml:space="preserve">Information on the new Addiction Clinical Care Suite </w:t>
      </w:r>
      <w:bookmarkStart w:id="0" w:name="_GoBack"/>
      <w:bookmarkEnd w:id="0"/>
      <w:r w:rsidRPr="003F364C">
        <w:rPr>
          <w:rFonts w:ascii="Century Gothic" w:hAnsi="Century Gothic"/>
          <w:b/>
          <w:bCs/>
          <w:caps/>
        </w:rPr>
        <w:t>inpatient detoxification at Guy’s and St Thomas’ Hospital</w:t>
      </w:r>
    </w:p>
    <w:p w14:paraId="4F9A070D" w14:textId="0FC854C6" w:rsidR="00190213" w:rsidRPr="0076109C" w:rsidRDefault="00190213" w:rsidP="00D21C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Calibri"/>
          <w:sz w:val="23"/>
          <w:szCs w:val="23"/>
        </w:rPr>
      </w:pPr>
      <w:r w:rsidRPr="0076109C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7DDBF56B" w14:textId="76721576" w:rsidR="00D05570" w:rsidRPr="0076109C" w:rsidRDefault="00D05570" w:rsidP="00D21C6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3"/>
          <w:szCs w:val="23"/>
        </w:rPr>
      </w:pPr>
      <w:r w:rsidRPr="0076109C">
        <w:rPr>
          <w:rFonts w:ascii="Century Gothic" w:eastAsia="Times New Roman" w:hAnsi="Century Gothic" w:cs="Arial"/>
          <w:b/>
          <w:bCs/>
          <w:sz w:val="23"/>
          <w:szCs w:val="23"/>
        </w:rPr>
        <w:t>Backgro</w:t>
      </w:r>
      <w:r w:rsidR="00690A36">
        <w:rPr>
          <w:rFonts w:ascii="Century Gothic" w:eastAsia="Times New Roman" w:hAnsi="Century Gothic" w:cs="Arial"/>
          <w:b/>
          <w:bCs/>
          <w:sz w:val="23"/>
          <w:szCs w:val="23"/>
        </w:rPr>
        <w:t>u</w:t>
      </w:r>
      <w:r w:rsidRPr="0076109C">
        <w:rPr>
          <w:rFonts w:ascii="Century Gothic" w:eastAsia="Times New Roman" w:hAnsi="Century Gothic" w:cs="Arial"/>
          <w:b/>
          <w:bCs/>
          <w:sz w:val="23"/>
          <w:szCs w:val="23"/>
        </w:rPr>
        <w:t>nd:</w:t>
      </w:r>
    </w:p>
    <w:p w14:paraId="4407D257" w14:textId="77777777" w:rsidR="00D05570" w:rsidRPr="0076109C" w:rsidRDefault="00D05570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2C858079" w14:textId="09E401A3" w:rsidR="002829FF" w:rsidRDefault="00241121" w:rsidP="002829FF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 xml:space="preserve">As part of the Government’s intention to end rough sleeping, </w:t>
      </w:r>
      <w:r w:rsidR="002829FF">
        <w:rPr>
          <w:rFonts w:ascii="Century Gothic" w:hAnsi="Century Gothic" w:cs="Arial"/>
          <w:sz w:val="23"/>
          <w:szCs w:val="23"/>
        </w:rPr>
        <w:t>P</w:t>
      </w:r>
      <w:r w:rsidR="00B3622C">
        <w:rPr>
          <w:rFonts w:ascii="Century Gothic" w:hAnsi="Century Gothic" w:cs="Arial"/>
          <w:sz w:val="23"/>
          <w:szCs w:val="23"/>
        </w:rPr>
        <w:t xml:space="preserve">ublic </w:t>
      </w:r>
      <w:r w:rsidR="002829FF">
        <w:rPr>
          <w:rFonts w:ascii="Century Gothic" w:hAnsi="Century Gothic" w:cs="Arial"/>
          <w:sz w:val="23"/>
          <w:szCs w:val="23"/>
        </w:rPr>
        <w:t>H</w:t>
      </w:r>
      <w:r w:rsidR="00B3622C">
        <w:rPr>
          <w:rFonts w:ascii="Century Gothic" w:hAnsi="Century Gothic" w:cs="Arial"/>
          <w:sz w:val="23"/>
          <w:szCs w:val="23"/>
        </w:rPr>
        <w:t xml:space="preserve">ealth </w:t>
      </w:r>
      <w:r w:rsidR="002829FF">
        <w:rPr>
          <w:rFonts w:ascii="Century Gothic" w:hAnsi="Century Gothic" w:cs="Arial"/>
          <w:sz w:val="23"/>
          <w:szCs w:val="23"/>
        </w:rPr>
        <w:t>E</w:t>
      </w:r>
      <w:r w:rsidR="00B3622C">
        <w:rPr>
          <w:rFonts w:ascii="Century Gothic" w:hAnsi="Century Gothic" w:cs="Arial"/>
          <w:sz w:val="23"/>
          <w:szCs w:val="23"/>
        </w:rPr>
        <w:t>ngland</w:t>
      </w:r>
      <w:r w:rsidR="002829FF">
        <w:rPr>
          <w:rFonts w:ascii="Century Gothic" w:hAnsi="Century Gothic" w:cs="Arial"/>
          <w:sz w:val="23"/>
          <w:szCs w:val="23"/>
        </w:rPr>
        <w:t xml:space="preserve"> L</w:t>
      </w:r>
      <w:r w:rsidR="00B3622C">
        <w:rPr>
          <w:rFonts w:ascii="Century Gothic" w:hAnsi="Century Gothic" w:cs="Arial"/>
          <w:sz w:val="23"/>
          <w:szCs w:val="23"/>
        </w:rPr>
        <w:t>ondon</w:t>
      </w:r>
      <w:r w:rsidR="002829FF">
        <w:rPr>
          <w:rFonts w:ascii="Century Gothic" w:hAnsi="Century Gothic" w:cs="Arial"/>
          <w:sz w:val="23"/>
          <w:szCs w:val="23"/>
        </w:rPr>
        <w:t xml:space="preserve"> has successfully bid for funding from </w:t>
      </w:r>
      <w:r w:rsidR="00B90DE3">
        <w:rPr>
          <w:rFonts w:ascii="Century Gothic" w:hAnsi="Century Gothic" w:cs="Arial"/>
          <w:sz w:val="23"/>
          <w:szCs w:val="23"/>
        </w:rPr>
        <w:t xml:space="preserve">the </w:t>
      </w:r>
      <w:r w:rsidR="00E37597" w:rsidRPr="0076109C">
        <w:rPr>
          <w:rFonts w:ascii="Century Gothic" w:hAnsi="Century Gothic" w:cs="Arial"/>
          <w:sz w:val="23"/>
          <w:szCs w:val="23"/>
        </w:rPr>
        <w:t>M</w:t>
      </w:r>
      <w:r w:rsidR="00B90DE3">
        <w:rPr>
          <w:rFonts w:ascii="Century Gothic" w:hAnsi="Century Gothic" w:cs="Arial"/>
          <w:sz w:val="23"/>
          <w:szCs w:val="23"/>
        </w:rPr>
        <w:t xml:space="preserve">inistry of Housing, Communities and Local Government </w:t>
      </w:r>
      <w:r w:rsidRPr="0076109C">
        <w:rPr>
          <w:rFonts w:ascii="Century Gothic" w:hAnsi="Century Gothic" w:cs="Arial"/>
          <w:sz w:val="23"/>
          <w:szCs w:val="23"/>
        </w:rPr>
        <w:t>to</w:t>
      </w:r>
      <w:r w:rsidR="00E37597" w:rsidRPr="0076109C">
        <w:rPr>
          <w:rFonts w:ascii="Century Gothic" w:hAnsi="Century Gothic" w:cs="Arial"/>
          <w:sz w:val="23"/>
          <w:szCs w:val="23"/>
        </w:rPr>
        <w:t xml:space="preserve"> better address </w:t>
      </w:r>
      <w:r w:rsidR="006D1A1E" w:rsidRPr="0076109C">
        <w:rPr>
          <w:rFonts w:ascii="Century Gothic" w:hAnsi="Century Gothic" w:cs="Arial"/>
          <w:sz w:val="23"/>
          <w:szCs w:val="23"/>
        </w:rPr>
        <w:t xml:space="preserve">the increasing complexity of </w:t>
      </w:r>
      <w:r w:rsidR="00E37597" w:rsidRPr="0076109C">
        <w:rPr>
          <w:rFonts w:ascii="Century Gothic" w:hAnsi="Century Gothic" w:cs="Arial"/>
          <w:sz w:val="23"/>
          <w:szCs w:val="23"/>
        </w:rPr>
        <w:t xml:space="preserve">rough sleepers’ </w:t>
      </w:r>
      <w:r w:rsidR="002829FF">
        <w:rPr>
          <w:rFonts w:ascii="Century Gothic" w:hAnsi="Century Gothic" w:cs="Arial"/>
          <w:sz w:val="23"/>
          <w:szCs w:val="23"/>
        </w:rPr>
        <w:t xml:space="preserve">substance misuse </w:t>
      </w:r>
      <w:r w:rsidR="00E37597" w:rsidRPr="0076109C">
        <w:rPr>
          <w:rFonts w:ascii="Century Gothic" w:hAnsi="Century Gothic" w:cs="Arial"/>
          <w:sz w:val="23"/>
          <w:szCs w:val="23"/>
        </w:rPr>
        <w:t>treatment needs</w:t>
      </w:r>
      <w:r w:rsidR="00CB0B70">
        <w:rPr>
          <w:rFonts w:ascii="Century Gothic" w:hAnsi="Century Gothic" w:cs="Arial"/>
          <w:sz w:val="23"/>
          <w:szCs w:val="23"/>
        </w:rPr>
        <w:t xml:space="preserve">. </w:t>
      </w:r>
      <w:r w:rsidR="002829FF" w:rsidRPr="0076109C">
        <w:rPr>
          <w:rFonts w:ascii="Century Gothic" w:eastAsia="Times New Roman" w:hAnsi="Century Gothic" w:cs="Arial"/>
          <w:sz w:val="23"/>
          <w:szCs w:val="23"/>
        </w:rPr>
        <w:t xml:space="preserve">The funding has enabled the commissioning of a new hospital-based inpatient drug and alcohol detoxification service for rough sleepers as part of a new pan-London substance misuse programme. </w:t>
      </w:r>
    </w:p>
    <w:p w14:paraId="0B1F857D" w14:textId="77777777" w:rsidR="005C5D93" w:rsidRPr="0076109C" w:rsidRDefault="005C5D93" w:rsidP="002829FF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57F69A46" w14:textId="7F706EAD" w:rsidR="006D1A1E" w:rsidRPr="0076109C" w:rsidRDefault="002829FF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The service is also intended to address the gap in complex inp</w:t>
      </w:r>
      <w:r w:rsidR="00B90DE3">
        <w:rPr>
          <w:rFonts w:ascii="Century Gothic" w:hAnsi="Century Gothic" w:cs="Arial"/>
          <w:sz w:val="23"/>
          <w:szCs w:val="23"/>
        </w:rPr>
        <w:t xml:space="preserve">atient </w:t>
      </w:r>
      <w:r w:rsidR="005C5D93">
        <w:rPr>
          <w:rFonts w:ascii="Century Gothic" w:hAnsi="Century Gothic" w:cs="Arial"/>
          <w:sz w:val="23"/>
          <w:szCs w:val="23"/>
        </w:rPr>
        <w:t>detoxification provision</w:t>
      </w:r>
      <w:r>
        <w:rPr>
          <w:rFonts w:ascii="Century Gothic" w:hAnsi="Century Gothic" w:cs="Arial"/>
          <w:sz w:val="23"/>
          <w:szCs w:val="23"/>
        </w:rPr>
        <w:t xml:space="preserve"> in London for those with co-occurring physical</w:t>
      </w:r>
      <w:r w:rsidR="00B90DE3">
        <w:rPr>
          <w:rFonts w:ascii="Century Gothic" w:hAnsi="Century Gothic" w:cs="Arial"/>
          <w:sz w:val="23"/>
          <w:szCs w:val="23"/>
        </w:rPr>
        <w:t xml:space="preserve"> and mental </w:t>
      </w:r>
      <w:r>
        <w:rPr>
          <w:rFonts w:ascii="Century Gothic" w:hAnsi="Century Gothic" w:cs="Arial"/>
          <w:sz w:val="23"/>
          <w:szCs w:val="23"/>
        </w:rPr>
        <w:t xml:space="preserve">health needs such as </w:t>
      </w:r>
      <w:r w:rsidR="00E37597" w:rsidRPr="0076109C">
        <w:rPr>
          <w:rFonts w:ascii="Century Gothic" w:hAnsi="Century Gothic" w:cs="Arial"/>
          <w:sz w:val="23"/>
          <w:szCs w:val="23"/>
        </w:rPr>
        <w:t>those with:</w:t>
      </w:r>
    </w:p>
    <w:p w14:paraId="4BEE7CB1" w14:textId="77777777" w:rsidR="000F40A6" w:rsidRPr="0076109C" w:rsidRDefault="000F40A6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</w:p>
    <w:p w14:paraId="0236ED4F" w14:textId="6ABC9425" w:rsidR="002829FF" w:rsidRPr="005C5D93" w:rsidRDefault="006D1A1E" w:rsidP="005C5D93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severe</w:t>
      </w:r>
      <w:r w:rsidRPr="0076109C">
        <w:rPr>
          <w:rFonts w:ascii="Century Gothic" w:hAnsi="Century Gothic" w:cs="Arial"/>
          <w:color w:val="000000"/>
          <w:sz w:val="23"/>
          <w:szCs w:val="23"/>
        </w:rPr>
        <w:t xml:space="preserve"> al</w:t>
      </w:r>
      <w:r w:rsidRPr="0076109C">
        <w:rPr>
          <w:rFonts w:ascii="Century Gothic" w:hAnsi="Century Gothic" w:cs="Arial"/>
          <w:sz w:val="23"/>
          <w:szCs w:val="23"/>
        </w:rPr>
        <w:t>cohol and/or polydrug dependence</w:t>
      </w:r>
    </w:p>
    <w:p w14:paraId="714DDC68" w14:textId="77777777" w:rsidR="006D1A1E" w:rsidRPr="0076109C" w:rsidRDefault="006D1A1E" w:rsidP="00D21C6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a history of multiple detoxes and relapse</w:t>
      </w:r>
    </w:p>
    <w:p w14:paraId="530D7266" w14:textId="77777777" w:rsidR="006D1A1E" w:rsidRPr="0076109C" w:rsidRDefault="006D1A1E" w:rsidP="00D21C6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 xml:space="preserve">alcoholic liver disease </w:t>
      </w:r>
    </w:p>
    <w:p w14:paraId="45EA8D32" w14:textId="77777777" w:rsidR="006D1A1E" w:rsidRPr="0076109C" w:rsidRDefault="006D1A1E" w:rsidP="00D21C6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alcohol related brain damage</w:t>
      </w:r>
    </w:p>
    <w:p w14:paraId="52377E58" w14:textId="77777777" w:rsidR="006D1A1E" w:rsidRPr="0076109C" w:rsidRDefault="006D1A1E" w:rsidP="00D21C60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 xml:space="preserve">COPD </w:t>
      </w:r>
    </w:p>
    <w:p w14:paraId="3A7C1BF3" w14:textId="77777777" w:rsidR="006D1A1E" w:rsidRPr="0076109C" w:rsidRDefault="006D1A1E" w:rsidP="00D21C60">
      <w:pPr>
        <w:spacing w:after="0" w:line="240" w:lineRule="auto"/>
        <w:jc w:val="both"/>
        <w:rPr>
          <w:rFonts w:ascii="Century Gothic" w:hAnsi="Century Gothic" w:cs="Arial"/>
          <w:b/>
          <w:sz w:val="23"/>
          <w:szCs w:val="23"/>
        </w:rPr>
      </w:pPr>
    </w:p>
    <w:p w14:paraId="6FB04BE4" w14:textId="03FB53FE" w:rsidR="003F4F21" w:rsidRPr="0076109C" w:rsidRDefault="0064386F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 xml:space="preserve">Later in the year, the programme will also commission </w:t>
      </w:r>
      <w:r w:rsidR="0074224A" w:rsidRPr="0076109C">
        <w:rPr>
          <w:rFonts w:ascii="Century Gothic" w:eastAsia="Times New Roman" w:hAnsi="Century Gothic" w:cs="Arial"/>
          <w:sz w:val="23"/>
          <w:szCs w:val="23"/>
        </w:rPr>
        <w:t xml:space="preserve">new 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>residential rehab</w:t>
      </w:r>
      <w:r w:rsidR="00B90DE3">
        <w:rPr>
          <w:rFonts w:ascii="Century Gothic" w:eastAsia="Times New Roman" w:hAnsi="Century Gothic" w:cs="Arial"/>
          <w:sz w:val="23"/>
          <w:szCs w:val="23"/>
        </w:rPr>
        <w:t>ilitation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 xml:space="preserve"> services (as step down from the detox</w:t>
      </w:r>
      <w:r w:rsidR="00B90DE3">
        <w:rPr>
          <w:rFonts w:ascii="Century Gothic" w:eastAsia="Times New Roman" w:hAnsi="Century Gothic" w:cs="Arial"/>
          <w:sz w:val="23"/>
          <w:szCs w:val="23"/>
        </w:rPr>
        <w:t>ification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 xml:space="preserve">) and a new Ready for </w:t>
      </w:r>
      <w:r w:rsidR="002829FF">
        <w:rPr>
          <w:rFonts w:ascii="Century Gothic" w:eastAsia="Times New Roman" w:hAnsi="Century Gothic" w:cs="Arial"/>
          <w:sz w:val="23"/>
          <w:szCs w:val="23"/>
        </w:rPr>
        <w:t>R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 xml:space="preserve">ehab outreach/in-reach team to work in the community to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prepare 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 xml:space="preserve"> rough sleepers </w:t>
      </w:r>
      <w:r w:rsidR="00AD327E">
        <w:rPr>
          <w:rFonts w:ascii="Century Gothic" w:eastAsia="Times New Roman" w:hAnsi="Century Gothic" w:cs="Arial"/>
          <w:sz w:val="23"/>
          <w:szCs w:val="23"/>
        </w:rPr>
        <w:t>for treatment where there are gaps in local provision</w:t>
      </w:r>
      <w:r w:rsidR="00AE37BD" w:rsidRPr="0076109C">
        <w:rPr>
          <w:rFonts w:ascii="Century Gothic" w:eastAsia="Times New Roman" w:hAnsi="Century Gothic" w:cs="Arial"/>
          <w:sz w:val="23"/>
          <w:szCs w:val="23"/>
        </w:rPr>
        <w:t xml:space="preserve">, </w:t>
      </w:r>
      <w:r w:rsidR="0092005B" w:rsidRPr="0076109C">
        <w:rPr>
          <w:rFonts w:ascii="Century Gothic" w:eastAsia="Times New Roman" w:hAnsi="Century Gothic" w:cs="Arial"/>
          <w:sz w:val="23"/>
          <w:szCs w:val="23"/>
        </w:rPr>
        <w:t>and to manage the transition</w:t>
      </w:r>
      <w:r w:rsidR="00B01F1C"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8A1218">
        <w:rPr>
          <w:rFonts w:ascii="Century Gothic" w:eastAsia="Times New Roman" w:hAnsi="Century Gothic" w:cs="Arial"/>
          <w:sz w:val="23"/>
          <w:szCs w:val="23"/>
        </w:rPr>
        <w:t xml:space="preserve">and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improve successful </w:t>
      </w:r>
      <w:r w:rsidR="008A1218">
        <w:rPr>
          <w:rFonts w:ascii="Century Gothic" w:eastAsia="Times New Roman" w:hAnsi="Century Gothic" w:cs="Arial"/>
          <w:sz w:val="23"/>
          <w:szCs w:val="23"/>
        </w:rPr>
        <w:t xml:space="preserve">continuity of care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across the recovery and resettlement journey. </w:t>
      </w:r>
    </w:p>
    <w:p w14:paraId="4A2E5D23" w14:textId="77777777" w:rsidR="003F4F21" w:rsidRPr="0076109C" w:rsidRDefault="003F4F21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069A8AC6" w14:textId="6A866C72" w:rsidR="006D1A1E" w:rsidRPr="0076109C" w:rsidRDefault="0074224A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 xml:space="preserve">The City of London </w:t>
      </w:r>
      <w:r w:rsidR="008A1218" w:rsidRPr="0076109C">
        <w:rPr>
          <w:rFonts w:ascii="Century Gothic" w:eastAsia="Times New Roman" w:hAnsi="Century Gothic" w:cs="Arial"/>
          <w:sz w:val="23"/>
          <w:szCs w:val="23"/>
        </w:rPr>
        <w:t>has</w:t>
      </w:r>
      <w:r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been funded </w:t>
      </w:r>
      <w:r w:rsidRPr="0076109C">
        <w:rPr>
          <w:rFonts w:ascii="Century Gothic" w:eastAsia="Times New Roman" w:hAnsi="Century Gothic" w:cs="Arial"/>
          <w:sz w:val="23"/>
          <w:szCs w:val="23"/>
        </w:rPr>
        <w:t>to commissio</w:t>
      </w:r>
      <w:r w:rsidR="00AD327E">
        <w:rPr>
          <w:rFonts w:ascii="Century Gothic" w:eastAsia="Times New Roman" w:hAnsi="Century Gothic" w:cs="Arial"/>
          <w:sz w:val="23"/>
          <w:szCs w:val="23"/>
        </w:rPr>
        <w:t>n</w:t>
      </w:r>
      <w:r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B01F1C" w:rsidRPr="0076109C">
        <w:rPr>
          <w:rFonts w:ascii="Century Gothic" w:eastAsia="Times New Roman" w:hAnsi="Century Gothic" w:cs="Arial"/>
          <w:sz w:val="23"/>
          <w:szCs w:val="23"/>
        </w:rPr>
        <w:t xml:space="preserve">these services </w:t>
      </w:r>
      <w:r w:rsidRPr="0076109C">
        <w:rPr>
          <w:rFonts w:ascii="Century Gothic" w:eastAsia="Times New Roman" w:hAnsi="Century Gothic" w:cs="Arial"/>
          <w:sz w:val="23"/>
          <w:szCs w:val="23"/>
        </w:rPr>
        <w:t>for London</w:t>
      </w:r>
      <w:r w:rsidR="0072378B" w:rsidRPr="0076109C">
        <w:rPr>
          <w:rFonts w:ascii="Century Gothic" w:eastAsia="Times New Roman" w:hAnsi="Century Gothic" w:cs="Arial"/>
          <w:sz w:val="23"/>
          <w:szCs w:val="23"/>
        </w:rPr>
        <w:t>, as part of a partnership involving</w:t>
      </w:r>
      <w:r w:rsidR="00AE37BD" w:rsidRPr="0076109C">
        <w:rPr>
          <w:rFonts w:ascii="Century Gothic" w:eastAsia="Times New Roman" w:hAnsi="Century Gothic" w:cs="Arial"/>
          <w:sz w:val="23"/>
          <w:szCs w:val="23"/>
        </w:rPr>
        <w:t xml:space="preserve"> PHE</w:t>
      </w:r>
      <w:r w:rsidR="0072378B" w:rsidRPr="0076109C">
        <w:rPr>
          <w:rFonts w:ascii="Century Gothic" w:eastAsia="Times New Roman" w:hAnsi="Century Gothic" w:cs="Arial"/>
          <w:sz w:val="23"/>
          <w:szCs w:val="23"/>
        </w:rPr>
        <w:t xml:space="preserve"> London</w:t>
      </w:r>
      <w:r w:rsidR="00AE37BD" w:rsidRPr="0076109C">
        <w:rPr>
          <w:rFonts w:ascii="Century Gothic" w:eastAsia="Times New Roman" w:hAnsi="Century Gothic" w:cs="Arial"/>
          <w:sz w:val="23"/>
          <w:szCs w:val="23"/>
        </w:rPr>
        <w:t>, the Greater London Authority, London local authorities and other stakeholders.</w:t>
      </w:r>
    </w:p>
    <w:p w14:paraId="1A494DDB" w14:textId="093C8AC7" w:rsidR="00B01F1C" w:rsidRPr="0076109C" w:rsidRDefault="00B01F1C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053BA8DD" w14:textId="6C8ECD9B" w:rsidR="00641FF8" w:rsidRDefault="00B01F1C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 xml:space="preserve">The </w:t>
      </w:r>
      <w:r w:rsidR="0072378B" w:rsidRPr="0076109C">
        <w:rPr>
          <w:rFonts w:ascii="Century Gothic" w:eastAsia="Times New Roman" w:hAnsi="Century Gothic" w:cs="Arial"/>
          <w:sz w:val="23"/>
          <w:szCs w:val="23"/>
        </w:rPr>
        <w:t xml:space="preserve">Addiction Clinical Care Suite </w:t>
      </w:r>
      <w:r w:rsidR="00811C9C" w:rsidRPr="0076109C">
        <w:rPr>
          <w:rFonts w:ascii="Century Gothic" w:eastAsia="Times New Roman" w:hAnsi="Century Gothic" w:cs="Arial"/>
          <w:sz w:val="23"/>
          <w:szCs w:val="23"/>
        </w:rPr>
        <w:t xml:space="preserve">(ACCS) </w:t>
      </w:r>
      <w:r w:rsidR="0072378B" w:rsidRPr="0076109C">
        <w:rPr>
          <w:rFonts w:ascii="Century Gothic" w:eastAsia="Times New Roman" w:hAnsi="Century Gothic" w:cs="Arial"/>
          <w:sz w:val="23"/>
          <w:szCs w:val="23"/>
        </w:rPr>
        <w:t xml:space="preserve">operated by Guy’s and St Thomas’ Hospital </w:t>
      </w:r>
      <w:r w:rsidR="00785BE2" w:rsidRPr="0076109C">
        <w:rPr>
          <w:rFonts w:ascii="Century Gothic" w:eastAsia="Times New Roman" w:hAnsi="Century Gothic" w:cs="Arial"/>
          <w:sz w:val="23"/>
          <w:szCs w:val="23"/>
        </w:rPr>
        <w:t xml:space="preserve">will open early June 2021 </w:t>
      </w:r>
      <w:proofErr w:type="gramStart"/>
      <w:r w:rsidR="00785BE2" w:rsidRPr="0076109C">
        <w:rPr>
          <w:rFonts w:ascii="Century Gothic" w:eastAsia="Times New Roman" w:hAnsi="Century Gothic" w:cs="Arial"/>
          <w:sz w:val="23"/>
          <w:szCs w:val="23"/>
        </w:rPr>
        <w:t>and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>,</w:t>
      </w:r>
      <w:proofErr w:type="gramEnd"/>
      <w:r w:rsidR="00AD327E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8111FF">
        <w:rPr>
          <w:rFonts w:ascii="Century Gothic" w:eastAsia="Times New Roman" w:hAnsi="Century Gothic" w:cs="Arial"/>
          <w:sz w:val="23"/>
          <w:szCs w:val="23"/>
        </w:rPr>
        <w:t xml:space="preserve">included </w:t>
      </w:r>
      <w:r w:rsidR="008111FF" w:rsidRPr="0076109C">
        <w:rPr>
          <w:rFonts w:ascii="Century Gothic" w:eastAsia="Times New Roman" w:hAnsi="Century Gothic" w:cs="Arial"/>
          <w:sz w:val="23"/>
          <w:szCs w:val="23"/>
        </w:rPr>
        <w:t>with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>this briefing note,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 is</w:t>
      </w:r>
      <w:r w:rsidR="0034409E" w:rsidRPr="0076109C">
        <w:rPr>
          <w:rFonts w:ascii="Century Gothic" w:eastAsia="Times New Roman" w:hAnsi="Century Gothic" w:cs="Arial"/>
          <w:sz w:val="23"/>
          <w:szCs w:val="23"/>
        </w:rPr>
        <w:t xml:space="preserve"> a copy of the service referral form</w:t>
      </w:r>
      <w:r w:rsidR="00641FF8"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34409E" w:rsidRPr="0076109C">
        <w:rPr>
          <w:rFonts w:ascii="Century Gothic" w:eastAsia="Times New Roman" w:hAnsi="Century Gothic" w:cs="Arial"/>
          <w:sz w:val="23"/>
          <w:szCs w:val="23"/>
        </w:rPr>
        <w:t xml:space="preserve">so you can 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 xml:space="preserve">share </w:t>
      </w:r>
      <w:r w:rsidR="00521839" w:rsidRPr="0076109C">
        <w:rPr>
          <w:rFonts w:ascii="Century Gothic" w:eastAsia="Times New Roman" w:hAnsi="Century Gothic" w:cs="Arial"/>
          <w:sz w:val="23"/>
          <w:szCs w:val="23"/>
        </w:rPr>
        <w:t>it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 xml:space="preserve"> with your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substance misuse 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>provider and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 begin to </w:t>
      </w:r>
      <w:r w:rsidR="008111FF">
        <w:rPr>
          <w:rFonts w:ascii="Century Gothic" w:eastAsia="Times New Roman" w:hAnsi="Century Gothic" w:cs="Arial"/>
          <w:sz w:val="23"/>
          <w:szCs w:val="23"/>
        </w:rPr>
        <w:t xml:space="preserve">consider </w:t>
      </w:r>
      <w:r w:rsidR="008111FF" w:rsidRPr="0076109C">
        <w:rPr>
          <w:rFonts w:ascii="Century Gothic" w:eastAsia="Times New Roman" w:hAnsi="Century Gothic" w:cs="Arial"/>
          <w:sz w:val="23"/>
          <w:szCs w:val="23"/>
        </w:rPr>
        <w:t>referrals</w:t>
      </w:r>
      <w:r w:rsidR="008140D0" w:rsidRPr="0076109C">
        <w:rPr>
          <w:rFonts w:ascii="Century Gothic" w:eastAsia="Times New Roman" w:hAnsi="Century Gothic" w:cs="Arial"/>
          <w:sz w:val="23"/>
          <w:szCs w:val="23"/>
        </w:rPr>
        <w:t xml:space="preserve"> to the new service. 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Please note that referrals will only be taken from substance misuse services. </w:t>
      </w:r>
    </w:p>
    <w:p w14:paraId="1CBEC135" w14:textId="5D06E193" w:rsidR="00B90DE3" w:rsidRDefault="00B90DE3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3A78774D" w14:textId="62CE0979" w:rsidR="00811C9C" w:rsidRPr="0076109C" w:rsidRDefault="00641FF8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>Previously you have been issued with a</w:t>
      </w:r>
      <w:r w:rsidR="00521839" w:rsidRPr="0076109C">
        <w:rPr>
          <w:rFonts w:ascii="Century Gothic" w:eastAsia="Times New Roman" w:hAnsi="Century Gothic" w:cs="Arial"/>
          <w:sz w:val="23"/>
          <w:szCs w:val="23"/>
        </w:rPr>
        <w:t xml:space="preserve">n MoU and a request for a Purchase Order. Both are needed </w:t>
      </w:r>
      <w:r w:rsidR="008111FF">
        <w:rPr>
          <w:rFonts w:ascii="Century Gothic" w:eastAsia="Times New Roman" w:hAnsi="Century Gothic" w:cs="Arial"/>
          <w:sz w:val="23"/>
          <w:szCs w:val="23"/>
        </w:rPr>
        <w:t>by</w:t>
      </w:r>
      <w:r w:rsidR="00521839" w:rsidRPr="0076109C">
        <w:rPr>
          <w:rFonts w:ascii="Century Gothic" w:eastAsia="Times New Roman" w:hAnsi="Century Gothic" w:cs="Arial"/>
          <w:sz w:val="23"/>
          <w:szCs w:val="23"/>
        </w:rPr>
        <w:t xml:space="preserve"> the City before you will be able to refer to the service </w:t>
      </w:r>
      <w:r w:rsidR="00811C9C" w:rsidRPr="0076109C">
        <w:rPr>
          <w:rFonts w:ascii="Century Gothic" w:eastAsia="Times New Roman" w:hAnsi="Century Gothic" w:cs="Arial"/>
          <w:sz w:val="23"/>
          <w:szCs w:val="23"/>
        </w:rPr>
        <w:t xml:space="preserve">because of the arrangements about cross-charging. </w:t>
      </w:r>
    </w:p>
    <w:p w14:paraId="3369A064" w14:textId="77777777" w:rsidR="00811C9C" w:rsidRPr="0076109C" w:rsidRDefault="00811C9C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28A28C1F" w14:textId="31B2B062" w:rsidR="005250CF" w:rsidRPr="0076109C" w:rsidRDefault="00811C9C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 xml:space="preserve">The ACCS </w:t>
      </w:r>
      <w:r w:rsidR="00B924D8" w:rsidRPr="0076109C">
        <w:rPr>
          <w:rFonts w:ascii="Century Gothic" w:eastAsia="Times New Roman" w:hAnsi="Century Gothic" w:cs="Arial"/>
          <w:sz w:val="23"/>
          <w:szCs w:val="23"/>
        </w:rPr>
        <w:t xml:space="preserve">is for </w:t>
      </w:r>
      <w:r w:rsidR="00DD2AE1" w:rsidRPr="0076109C">
        <w:rPr>
          <w:rFonts w:ascii="Century Gothic" w:eastAsia="Times New Roman" w:hAnsi="Century Gothic" w:cs="Arial"/>
          <w:sz w:val="23"/>
          <w:szCs w:val="23"/>
        </w:rPr>
        <w:t xml:space="preserve">all </w:t>
      </w:r>
      <w:r w:rsidR="00B924D8" w:rsidRPr="0076109C">
        <w:rPr>
          <w:rFonts w:ascii="Century Gothic" w:eastAsia="Times New Roman" w:hAnsi="Century Gothic" w:cs="Arial"/>
          <w:sz w:val="23"/>
          <w:szCs w:val="23"/>
        </w:rPr>
        <w:t>London rough sleepers (including</w:t>
      </w:r>
      <w:r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  <w:r w:rsidR="00BD2B1C" w:rsidRPr="0076109C">
        <w:rPr>
          <w:rFonts w:ascii="Century Gothic" w:eastAsia="Times New Roman" w:hAnsi="Century Gothic" w:cs="Arial"/>
          <w:sz w:val="23"/>
          <w:szCs w:val="23"/>
        </w:rPr>
        <w:t xml:space="preserve">those </w:t>
      </w:r>
      <w:r w:rsidRPr="0076109C">
        <w:rPr>
          <w:rFonts w:ascii="Century Gothic" w:eastAsia="Times New Roman" w:hAnsi="Century Gothic" w:cs="Arial"/>
          <w:sz w:val="23"/>
          <w:szCs w:val="23"/>
        </w:rPr>
        <w:t xml:space="preserve">who may be </w:t>
      </w:r>
      <w:r w:rsidR="001A0CB6" w:rsidRPr="0076109C">
        <w:rPr>
          <w:rFonts w:ascii="Century Gothic" w:eastAsia="Times New Roman" w:hAnsi="Century Gothic" w:cs="Arial"/>
          <w:sz w:val="23"/>
          <w:szCs w:val="23"/>
        </w:rPr>
        <w:t xml:space="preserve">currently </w:t>
      </w:r>
      <w:r w:rsidR="00B924D8" w:rsidRPr="0076109C">
        <w:rPr>
          <w:rFonts w:ascii="Century Gothic" w:eastAsia="Times New Roman" w:hAnsi="Century Gothic" w:cs="Arial"/>
          <w:sz w:val="23"/>
          <w:szCs w:val="23"/>
        </w:rPr>
        <w:t>accommodated</w:t>
      </w:r>
      <w:r w:rsidR="00BD2B1C" w:rsidRPr="0076109C">
        <w:rPr>
          <w:rFonts w:ascii="Century Gothic" w:eastAsia="Times New Roman" w:hAnsi="Century Gothic" w:cs="Arial"/>
          <w:sz w:val="23"/>
          <w:szCs w:val="23"/>
        </w:rPr>
        <w:t xml:space="preserve"> but are in </w:t>
      </w:r>
      <w:r w:rsidR="00B924D8" w:rsidRPr="0076109C">
        <w:rPr>
          <w:rFonts w:ascii="Century Gothic" w:eastAsia="Times New Roman" w:hAnsi="Century Gothic" w:cs="Arial"/>
          <w:sz w:val="23"/>
          <w:szCs w:val="23"/>
        </w:rPr>
        <w:t xml:space="preserve">danger of returning to rough sleeping) who meet the </w:t>
      </w:r>
      <w:r w:rsidR="00BA0E31" w:rsidRPr="0076109C">
        <w:rPr>
          <w:rFonts w:ascii="Century Gothic" w:eastAsia="Times New Roman" w:hAnsi="Century Gothic" w:cs="Arial"/>
          <w:sz w:val="23"/>
          <w:szCs w:val="23"/>
        </w:rPr>
        <w:t xml:space="preserve">eligibility criteria </w:t>
      </w:r>
      <w:r w:rsidR="00DD2AE1" w:rsidRPr="0076109C">
        <w:rPr>
          <w:rFonts w:ascii="Century Gothic" w:eastAsia="Times New Roman" w:hAnsi="Century Gothic" w:cs="Arial"/>
          <w:sz w:val="23"/>
          <w:szCs w:val="23"/>
        </w:rPr>
        <w:t>around complex needs, have an exit</w:t>
      </w:r>
      <w:r w:rsidR="007C5CA2" w:rsidRPr="0076109C">
        <w:rPr>
          <w:rFonts w:ascii="Century Gothic" w:eastAsia="Times New Roman" w:hAnsi="Century Gothic" w:cs="Arial"/>
          <w:sz w:val="23"/>
          <w:szCs w:val="23"/>
        </w:rPr>
        <w:t>/step down</w:t>
      </w:r>
      <w:r w:rsidR="00DD2AE1" w:rsidRPr="0076109C">
        <w:rPr>
          <w:rFonts w:ascii="Century Gothic" w:eastAsia="Times New Roman" w:hAnsi="Century Gothic" w:cs="Arial"/>
          <w:sz w:val="23"/>
          <w:szCs w:val="23"/>
        </w:rPr>
        <w:t xml:space="preserve"> pathway identified, and who are referred by a borough-based substance misuse team</w:t>
      </w:r>
      <w:r w:rsidR="00BA0E31" w:rsidRPr="0076109C">
        <w:rPr>
          <w:rFonts w:ascii="Century Gothic" w:eastAsia="Times New Roman" w:hAnsi="Century Gothic" w:cs="Arial"/>
          <w:sz w:val="23"/>
          <w:szCs w:val="23"/>
        </w:rPr>
        <w:t>.</w:t>
      </w:r>
      <w:r w:rsidR="00AD327E">
        <w:rPr>
          <w:rFonts w:ascii="Century Gothic" w:eastAsia="Times New Roman" w:hAnsi="Century Gothic" w:cs="Arial"/>
          <w:sz w:val="23"/>
          <w:szCs w:val="23"/>
        </w:rPr>
        <w:t xml:space="preserve"> Unfortunately the service is unable to accept referrals for those with no recourse to public funds. </w:t>
      </w:r>
      <w:r w:rsidR="00BA0E31" w:rsidRPr="0076109C">
        <w:rPr>
          <w:rFonts w:ascii="Century Gothic" w:eastAsia="Times New Roman" w:hAnsi="Century Gothic" w:cs="Arial"/>
          <w:sz w:val="23"/>
          <w:szCs w:val="23"/>
        </w:rPr>
        <w:t xml:space="preserve"> </w:t>
      </w:r>
    </w:p>
    <w:p w14:paraId="4203AAEA" w14:textId="7575E170" w:rsidR="005250CF" w:rsidRPr="0076109C" w:rsidRDefault="005250CF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</w:p>
    <w:p w14:paraId="65371120" w14:textId="17AFB52D" w:rsidR="00D13479" w:rsidRPr="0076109C" w:rsidRDefault="00BD2B1C" w:rsidP="00D21C60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 w:rsidRPr="0076109C">
        <w:rPr>
          <w:rFonts w:ascii="Century Gothic" w:eastAsia="Times New Roman" w:hAnsi="Century Gothic" w:cs="Arial"/>
          <w:sz w:val="23"/>
          <w:szCs w:val="23"/>
        </w:rPr>
        <w:t>Local authorities will contribute £250 a night to the cost of the service</w:t>
      </w:r>
      <w:r w:rsidR="00CB37C6" w:rsidRPr="0076109C">
        <w:rPr>
          <w:rFonts w:ascii="Century Gothic" w:eastAsia="Times New Roman" w:hAnsi="Century Gothic" w:cs="Arial"/>
          <w:sz w:val="23"/>
          <w:szCs w:val="23"/>
        </w:rPr>
        <w:t xml:space="preserve">, with the remainder of the costs covered by a block contract between the City and GSTT. </w:t>
      </w:r>
    </w:p>
    <w:p w14:paraId="300D3D1D" w14:textId="1B2823DB" w:rsidR="006469F7" w:rsidRPr="0076109C" w:rsidRDefault="006469F7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</w:p>
    <w:p w14:paraId="4EA16C14" w14:textId="56AEABF4" w:rsidR="00CB37C6" w:rsidRPr="0076109C" w:rsidRDefault="00CB37C6" w:rsidP="00D21C6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3"/>
          <w:szCs w:val="23"/>
        </w:rPr>
      </w:pPr>
      <w:r w:rsidRPr="0076109C">
        <w:rPr>
          <w:rFonts w:ascii="Century Gothic" w:eastAsia="Times New Roman" w:hAnsi="Century Gothic" w:cs="Arial"/>
          <w:b/>
          <w:bCs/>
          <w:sz w:val="23"/>
          <w:szCs w:val="23"/>
        </w:rPr>
        <w:t>Find out more</w:t>
      </w:r>
    </w:p>
    <w:p w14:paraId="6DF44253" w14:textId="21BC13E8" w:rsidR="00CB37C6" w:rsidRPr="0076109C" w:rsidRDefault="00CB37C6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</w:p>
    <w:p w14:paraId="4754808D" w14:textId="7276BF64" w:rsidR="00CB37C6" w:rsidRPr="0076109C" w:rsidRDefault="00CB37C6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The City has organised three one hour meetings with staff from the A</w:t>
      </w:r>
      <w:r w:rsidR="008A1218">
        <w:rPr>
          <w:rFonts w:ascii="Century Gothic" w:hAnsi="Century Gothic" w:cs="Arial"/>
          <w:sz w:val="23"/>
          <w:szCs w:val="23"/>
        </w:rPr>
        <w:t xml:space="preserve">ddiction </w:t>
      </w:r>
      <w:r w:rsidRPr="0076109C">
        <w:rPr>
          <w:rFonts w:ascii="Century Gothic" w:hAnsi="Century Gothic" w:cs="Arial"/>
          <w:sz w:val="23"/>
          <w:szCs w:val="23"/>
        </w:rPr>
        <w:t>C</w:t>
      </w:r>
      <w:r w:rsidR="008A1218">
        <w:rPr>
          <w:rFonts w:ascii="Century Gothic" w:hAnsi="Century Gothic" w:cs="Arial"/>
          <w:sz w:val="23"/>
          <w:szCs w:val="23"/>
        </w:rPr>
        <w:t xml:space="preserve">linical </w:t>
      </w:r>
      <w:r w:rsidRPr="0076109C">
        <w:rPr>
          <w:rFonts w:ascii="Century Gothic" w:hAnsi="Century Gothic" w:cs="Arial"/>
          <w:sz w:val="23"/>
          <w:szCs w:val="23"/>
        </w:rPr>
        <w:t>C</w:t>
      </w:r>
      <w:r w:rsidR="008A1218">
        <w:rPr>
          <w:rFonts w:ascii="Century Gothic" w:hAnsi="Century Gothic" w:cs="Arial"/>
          <w:sz w:val="23"/>
          <w:szCs w:val="23"/>
        </w:rPr>
        <w:t xml:space="preserve">are </w:t>
      </w:r>
      <w:r w:rsidRPr="0076109C">
        <w:rPr>
          <w:rFonts w:ascii="Century Gothic" w:hAnsi="Century Gothic" w:cs="Arial"/>
          <w:sz w:val="23"/>
          <w:szCs w:val="23"/>
        </w:rPr>
        <w:t>S</w:t>
      </w:r>
      <w:r w:rsidR="008A1218">
        <w:rPr>
          <w:rFonts w:ascii="Century Gothic" w:hAnsi="Century Gothic" w:cs="Arial"/>
          <w:sz w:val="23"/>
          <w:szCs w:val="23"/>
        </w:rPr>
        <w:t>uite (ACCS)</w:t>
      </w:r>
      <w:r w:rsidR="00231C81" w:rsidRPr="0076109C">
        <w:rPr>
          <w:rFonts w:ascii="Century Gothic" w:hAnsi="Century Gothic" w:cs="Arial"/>
          <w:sz w:val="23"/>
          <w:szCs w:val="23"/>
        </w:rPr>
        <w:t xml:space="preserve"> for providers and commissioners to get to know more about the service, what is offered within the ACCS, the eligibility</w:t>
      </w:r>
      <w:r w:rsidR="0076109C">
        <w:rPr>
          <w:rFonts w:ascii="Century Gothic" w:hAnsi="Century Gothic" w:cs="Arial"/>
          <w:sz w:val="23"/>
          <w:szCs w:val="23"/>
        </w:rPr>
        <w:t xml:space="preserve"> criteria</w:t>
      </w:r>
      <w:r w:rsidR="00231C81" w:rsidRPr="0076109C">
        <w:rPr>
          <w:rFonts w:ascii="Century Gothic" w:hAnsi="Century Gothic" w:cs="Arial"/>
          <w:sz w:val="23"/>
          <w:szCs w:val="23"/>
        </w:rPr>
        <w:t xml:space="preserve">, and any other questions that may arise after reading the referral form and </w:t>
      </w:r>
      <w:r w:rsidR="0076109C">
        <w:rPr>
          <w:rFonts w:ascii="Century Gothic" w:hAnsi="Century Gothic" w:cs="Arial"/>
          <w:sz w:val="23"/>
          <w:szCs w:val="23"/>
        </w:rPr>
        <w:t xml:space="preserve">service </w:t>
      </w:r>
      <w:r w:rsidR="00231C81" w:rsidRPr="0076109C">
        <w:rPr>
          <w:rFonts w:ascii="Century Gothic" w:hAnsi="Century Gothic" w:cs="Arial"/>
          <w:sz w:val="23"/>
          <w:szCs w:val="23"/>
        </w:rPr>
        <w:t>specification.</w:t>
      </w:r>
    </w:p>
    <w:p w14:paraId="4FC88C81" w14:textId="5BC31E1B" w:rsidR="00231C81" w:rsidRPr="0076109C" w:rsidRDefault="00231C81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</w:p>
    <w:p w14:paraId="579BC78C" w14:textId="227A58E1" w:rsidR="00231C81" w:rsidRPr="0076109C" w:rsidRDefault="00231C81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These take place on:</w:t>
      </w:r>
    </w:p>
    <w:p w14:paraId="6766EB91" w14:textId="6714EC57" w:rsidR="00231C81" w:rsidRPr="0076109C" w:rsidRDefault="00231C81" w:rsidP="00D21C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21</w:t>
      </w:r>
      <w:r w:rsidRPr="0076109C">
        <w:rPr>
          <w:rFonts w:ascii="Century Gothic" w:hAnsi="Century Gothic" w:cs="Arial"/>
          <w:sz w:val="23"/>
          <w:szCs w:val="23"/>
          <w:vertAlign w:val="superscript"/>
        </w:rPr>
        <w:t>st</w:t>
      </w:r>
      <w:r w:rsidRPr="0076109C">
        <w:rPr>
          <w:rFonts w:ascii="Century Gothic" w:hAnsi="Century Gothic" w:cs="Arial"/>
          <w:sz w:val="23"/>
          <w:szCs w:val="23"/>
        </w:rPr>
        <w:t xml:space="preserve"> May (13.30-14.30)</w:t>
      </w:r>
    </w:p>
    <w:p w14:paraId="28BBB5A0" w14:textId="6A4A9994" w:rsidR="00231C81" w:rsidRPr="0076109C" w:rsidRDefault="00231C81" w:rsidP="00D21C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24</w:t>
      </w:r>
      <w:r w:rsidRPr="0076109C">
        <w:rPr>
          <w:rFonts w:ascii="Century Gothic" w:hAnsi="Century Gothic" w:cs="Arial"/>
          <w:sz w:val="23"/>
          <w:szCs w:val="23"/>
          <w:vertAlign w:val="superscript"/>
        </w:rPr>
        <w:t>th</w:t>
      </w:r>
      <w:r w:rsidRPr="0076109C">
        <w:rPr>
          <w:rFonts w:ascii="Century Gothic" w:hAnsi="Century Gothic" w:cs="Arial"/>
          <w:sz w:val="23"/>
          <w:szCs w:val="23"/>
        </w:rPr>
        <w:t xml:space="preserve"> May (11.00-12.00)</w:t>
      </w:r>
    </w:p>
    <w:p w14:paraId="4AF2BDB9" w14:textId="6C5980F6" w:rsidR="00231C81" w:rsidRPr="0076109C" w:rsidRDefault="00231C81" w:rsidP="00D21C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25</w:t>
      </w:r>
      <w:r w:rsidRPr="0076109C">
        <w:rPr>
          <w:rFonts w:ascii="Century Gothic" w:hAnsi="Century Gothic" w:cs="Arial"/>
          <w:sz w:val="23"/>
          <w:szCs w:val="23"/>
          <w:vertAlign w:val="superscript"/>
        </w:rPr>
        <w:t>th</w:t>
      </w:r>
      <w:r w:rsidRPr="0076109C">
        <w:rPr>
          <w:rFonts w:ascii="Century Gothic" w:hAnsi="Century Gothic" w:cs="Arial"/>
          <w:sz w:val="23"/>
          <w:szCs w:val="23"/>
        </w:rPr>
        <w:t xml:space="preserve"> May (</w:t>
      </w:r>
      <w:r w:rsidR="0076109C" w:rsidRPr="0076109C">
        <w:rPr>
          <w:rFonts w:ascii="Century Gothic" w:hAnsi="Century Gothic" w:cs="Arial"/>
          <w:sz w:val="23"/>
          <w:szCs w:val="23"/>
        </w:rPr>
        <w:t>12.00-13.00)</w:t>
      </w:r>
    </w:p>
    <w:p w14:paraId="40B5413F" w14:textId="77777777" w:rsidR="0076109C" w:rsidRPr="0076109C" w:rsidRDefault="0076109C" w:rsidP="00D21C60">
      <w:pPr>
        <w:pStyle w:val="ListParagraph"/>
        <w:spacing w:after="0" w:line="240" w:lineRule="auto"/>
        <w:ind w:left="792"/>
        <w:jc w:val="both"/>
        <w:rPr>
          <w:rFonts w:ascii="Century Gothic" w:hAnsi="Century Gothic" w:cs="Arial"/>
          <w:sz w:val="23"/>
          <w:szCs w:val="23"/>
        </w:rPr>
      </w:pPr>
    </w:p>
    <w:p w14:paraId="526C81E5" w14:textId="5F0211AA" w:rsidR="0076109C" w:rsidRPr="0076109C" w:rsidRDefault="0076109C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If you would like to attend and haven’t yet been invited, please</w:t>
      </w:r>
      <w:r>
        <w:rPr>
          <w:rFonts w:ascii="Century Gothic" w:hAnsi="Century Gothic" w:cs="Arial"/>
          <w:sz w:val="23"/>
          <w:szCs w:val="23"/>
        </w:rPr>
        <w:t xml:space="preserve"> send an</w:t>
      </w:r>
      <w:r w:rsidRPr="0076109C">
        <w:rPr>
          <w:rFonts w:ascii="Century Gothic" w:hAnsi="Century Gothic" w:cs="Arial"/>
          <w:sz w:val="23"/>
          <w:szCs w:val="23"/>
        </w:rPr>
        <w:t xml:space="preserve"> email </w:t>
      </w:r>
      <w:r>
        <w:rPr>
          <w:rFonts w:ascii="Century Gothic" w:hAnsi="Century Gothic" w:cs="Arial"/>
          <w:sz w:val="23"/>
          <w:szCs w:val="23"/>
        </w:rPr>
        <w:t xml:space="preserve">to: </w:t>
      </w:r>
      <w:hyperlink r:id="rId11" w:history="1">
        <w:r w:rsidRPr="00695EDC">
          <w:rPr>
            <w:rStyle w:val="Hyperlink"/>
            <w:rFonts w:ascii="Century Gothic" w:hAnsi="Century Gothic" w:cs="Arial"/>
            <w:sz w:val="23"/>
            <w:szCs w:val="23"/>
          </w:rPr>
          <w:t>michelle.binfield@cityoflondon.gov.uk</w:t>
        </w:r>
      </w:hyperlink>
      <w:r w:rsidRPr="0076109C">
        <w:rPr>
          <w:rFonts w:ascii="Century Gothic" w:hAnsi="Century Gothic" w:cs="Arial"/>
          <w:sz w:val="23"/>
          <w:szCs w:val="23"/>
        </w:rPr>
        <w:t xml:space="preserve"> </w:t>
      </w:r>
    </w:p>
    <w:p w14:paraId="604853B4" w14:textId="51C01CB2" w:rsidR="0076109C" w:rsidRPr="0076109C" w:rsidRDefault="0076109C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</w:p>
    <w:p w14:paraId="5219BF9D" w14:textId="32762B3E" w:rsidR="0076109C" w:rsidRPr="0076109C" w:rsidRDefault="0076109C" w:rsidP="00D21C60">
      <w:pPr>
        <w:spacing w:after="0" w:line="240" w:lineRule="auto"/>
        <w:jc w:val="both"/>
        <w:rPr>
          <w:rFonts w:ascii="Century Gothic" w:hAnsi="Century Gothic" w:cs="Arial"/>
          <w:sz w:val="23"/>
          <w:szCs w:val="23"/>
        </w:rPr>
      </w:pPr>
      <w:r w:rsidRPr="0076109C">
        <w:rPr>
          <w:rFonts w:ascii="Century Gothic" w:hAnsi="Century Gothic" w:cs="Arial"/>
          <w:sz w:val="23"/>
          <w:szCs w:val="23"/>
        </w:rPr>
        <w:t>If you have any questions about how to access the service, about the MoU you have been sen</w:t>
      </w:r>
      <w:r w:rsidR="00AD327E">
        <w:rPr>
          <w:rFonts w:ascii="Century Gothic" w:hAnsi="Century Gothic" w:cs="Arial"/>
          <w:sz w:val="23"/>
          <w:szCs w:val="23"/>
        </w:rPr>
        <w:t>t</w:t>
      </w:r>
      <w:r w:rsidRPr="0076109C">
        <w:rPr>
          <w:rFonts w:ascii="Century Gothic" w:hAnsi="Century Gothic" w:cs="Arial"/>
          <w:sz w:val="23"/>
          <w:szCs w:val="23"/>
        </w:rPr>
        <w:t xml:space="preserve"> to sign</w:t>
      </w:r>
      <w:r w:rsidR="000441AB">
        <w:rPr>
          <w:rFonts w:ascii="Century Gothic" w:hAnsi="Century Gothic" w:cs="Arial"/>
          <w:sz w:val="23"/>
          <w:szCs w:val="23"/>
        </w:rPr>
        <w:t>,</w:t>
      </w:r>
      <w:r w:rsidRPr="0076109C">
        <w:rPr>
          <w:rFonts w:ascii="Century Gothic" w:hAnsi="Century Gothic" w:cs="Arial"/>
          <w:sz w:val="23"/>
          <w:szCs w:val="23"/>
        </w:rPr>
        <w:t xml:space="preserve"> or the cross charging process, please also contact Michelle</w:t>
      </w:r>
      <w:r w:rsidR="00AD327E">
        <w:rPr>
          <w:rFonts w:ascii="Century Gothic" w:hAnsi="Century Gothic" w:cs="Arial"/>
          <w:sz w:val="23"/>
          <w:szCs w:val="23"/>
        </w:rPr>
        <w:t xml:space="preserve"> Binfield</w:t>
      </w:r>
      <w:r w:rsidR="000441AB">
        <w:rPr>
          <w:rFonts w:ascii="Century Gothic" w:hAnsi="Century Gothic" w:cs="Arial"/>
          <w:sz w:val="23"/>
          <w:szCs w:val="23"/>
        </w:rPr>
        <w:t>.</w:t>
      </w:r>
    </w:p>
    <w:p w14:paraId="4409B795" w14:textId="43D4A17A" w:rsidR="00707EE0" w:rsidRDefault="00707EE0" w:rsidP="00D21C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sz w:val="23"/>
          <w:szCs w:val="23"/>
        </w:rPr>
      </w:pPr>
    </w:p>
    <w:p w14:paraId="1B6CBEE3" w14:textId="77777777" w:rsidR="000441AB" w:rsidRDefault="000441AB" w:rsidP="000441A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AD7D" w:themeFill="accent5" w:themeFillTint="99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b/>
          <w:bCs/>
          <w:sz w:val="23"/>
          <w:szCs w:val="23"/>
        </w:rPr>
      </w:pPr>
    </w:p>
    <w:p w14:paraId="4F4390B3" w14:textId="149E63F1" w:rsidR="00707EE0" w:rsidRDefault="00D21C60" w:rsidP="000441A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AD7D" w:themeFill="accent5" w:themeFillTint="99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b/>
          <w:bCs/>
          <w:sz w:val="23"/>
          <w:szCs w:val="23"/>
        </w:rPr>
      </w:pPr>
      <w:r>
        <w:rPr>
          <w:rStyle w:val="normaltextrun"/>
          <w:rFonts w:ascii="Century Gothic" w:hAnsi="Century Gothic" w:cs="Calibri"/>
          <w:b/>
          <w:bCs/>
          <w:sz w:val="23"/>
          <w:szCs w:val="23"/>
        </w:rPr>
        <w:t xml:space="preserve">REFERRALS AND </w:t>
      </w:r>
      <w:r w:rsidR="00707EE0" w:rsidRPr="00707EE0">
        <w:rPr>
          <w:rStyle w:val="normaltextrun"/>
          <w:rFonts w:ascii="Century Gothic" w:hAnsi="Century Gothic" w:cs="Calibri"/>
          <w:b/>
          <w:bCs/>
          <w:sz w:val="23"/>
          <w:szCs w:val="23"/>
        </w:rPr>
        <w:t>ELIGIBILITY CRITERIA</w:t>
      </w:r>
    </w:p>
    <w:p w14:paraId="2E5882CB" w14:textId="77777777" w:rsidR="000441AB" w:rsidRDefault="000441AB" w:rsidP="000441A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8AD7D" w:themeFill="accent5" w:themeFillTint="99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b/>
          <w:bCs/>
          <w:sz w:val="23"/>
          <w:szCs w:val="23"/>
        </w:rPr>
      </w:pPr>
    </w:p>
    <w:p w14:paraId="5AE41DFE" w14:textId="7C5F91E8" w:rsidR="00707EE0" w:rsidRDefault="00707EE0" w:rsidP="00534F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Calibri"/>
          <w:b/>
          <w:bCs/>
          <w:sz w:val="23"/>
          <w:szCs w:val="23"/>
        </w:rPr>
      </w:pPr>
    </w:p>
    <w:p w14:paraId="2E9CBF76" w14:textId="5AB4F137" w:rsidR="00D21C60" w:rsidRDefault="00D21C60" w:rsidP="00534F3E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All </w:t>
      </w:r>
      <w:r w:rsidR="00B3622C">
        <w:rPr>
          <w:rFonts w:ascii="Century Gothic" w:hAnsi="Century Gothic"/>
          <w:bCs/>
          <w:color w:val="000000" w:themeColor="text1"/>
          <w:szCs w:val="24"/>
        </w:rPr>
        <w:t>those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 referred to the </w:t>
      </w:r>
      <w:r>
        <w:rPr>
          <w:rFonts w:ascii="Century Gothic" w:hAnsi="Century Gothic"/>
          <w:bCs/>
          <w:color w:val="000000" w:themeColor="text1"/>
          <w:szCs w:val="24"/>
        </w:rPr>
        <w:t>ACCS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 must have </w:t>
      </w:r>
      <w:r>
        <w:rPr>
          <w:rFonts w:ascii="Century Gothic" w:hAnsi="Century Gothic"/>
          <w:bCs/>
          <w:color w:val="000000" w:themeColor="text1"/>
          <w:szCs w:val="24"/>
        </w:rPr>
        <w:t xml:space="preserve">been assessed by a London local authority commissioned 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community substance misuse team </w:t>
      </w:r>
      <w:r>
        <w:rPr>
          <w:rFonts w:ascii="Century Gothic" w:hAnsi="Century Gothic"/>
          <w:bCs/>
          <w:color w:val="000000" w:themeColor="text1"/>
          <w:szCs w:val="24"/>
        </w:rPr>
        <w:t>and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 thought appropriate for </w:t>
      </w:r>
      <w:r w:rsidR="00C660A6">
        <w:rPr>
          <w:rFonts w:ascii="Century Gothic" w:hAnsi="Century Gothic"/>
          <w:bCs/>
          <w:color w:val="000000" w:themeColor="text1"/>
          <w:szCs w:val="24"/>
        </w:rPr>
        <w:t>the service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. </w:t>
      </w:r>
    </w:p>
    <w:p w14:paraId="7C30D88A" w14:textId="77777777" w:rsidR="00534F3E" w:rsidRPr="00A17AA7" w:rsidRDefault="00534F3E" w:rsidP="00534F3E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</w:p>
    <w:p w14:paraId="262C43B9" w14:textId="19E75C7D" w:rsidR="00D21C60" w:rsidRDefault="00D21C60" w:rsidP="00534F3E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  <w:r>
        <w:rPr>
          <w:rFonts w:ascii="Century Gothic" w:hAnsi="Century Gothic"/>
          <w:bCs/>
          <w:color w:val="000000" w:themeColor="text1"/>
          <w:szCs w:val="24"/>
        </w:rPr>
        <w:t>ACCS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 referral forms should be sent to the </w:t>
      </w:r>
      <w:r>
        <w:rPr>
          <w:rFonts w:ascii="Century Gothic" w:hAnsi="Century Gothic"/>
          <w:bCs/>
          <w:color w:val="000000" w:themeColor="text1"/>
          <w:szCs w:val="24"/>
        </w:rPr>
        <w:t>ACCS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 </w:t>
      </w:r>
      <w:r>
        <w:rPr>
          <w:rFonts w:ascii="Century Gothic" w:hAnsi="Century Gothic"/>
          <w:bCs/>
          <w:color w:val="000000" w:themeColor="text1"/>
          <w:szCs w:val="24"/>
        </w:rPr>
        <w:t>S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enior </w:t>
      </w:r>
      <w:r>
        <w:rPr>
          <w:rFonts w:ascii="Century Gothic" w:hAnsi="Century Gothic"/>
          <w:bCs/>
          <w:color w:val="000000" w:themeColor="text1"/>
          <w:szCs w:val="24"/>
        </w:rPr>
        <w:t>C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linical </w:t>
      </w:r>
      <w:r>
        <w:rPr>
          <w:rFonts w:ascii="Century Gothic" w:hAnsi="Century Gothic"/>
          <w:bCs/>
          <w:color w:val="000000" w:themeColor="text1"/>
          <w:szCs w:val="24"/>
        </w:rPr>
        <w:t>C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oordinator via </w:t>
      </w:r>
      <w:r w:rsidR="004E2B4A">
        <w:rPr>
          <w:rFonts w:ascii="Century Gothic" w:hAnsi="Century Gothic"/>
          <w:bCs/>
          <w:color w:val="000000" w:themeColor="text1"/>
          <w:szCs w:val="24"/>
        </w:rPr>
        <w:t xml:space="preserve">the 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email </w:t>
      </w:r>
      <w:r w:rsidR="004E2B4A">
        <w:rPr>
          <w:rFonts w:ascii="Century Gothic" w:hAnsi="Century Gothic"/>
          <w:bCs/>
          <w:color w:val="000000" w:themeColor="text1"/>
          <w:szCs w:val="24"/>
        </w:rPr>
        <w:t xml:space="preserve">address </w:t>
      </w:r>
      <w:r w:rsidRPr="00A17AA7">
        <w:rPr>
          <w:rFonts w:ascii="Century Gothic" w:hAnsi="Century Gothic"/>
          <w:bCs/>
          <w:color w:val="000000" w:themeColor="text1"/>
          <w:szCs w:val="24"/>
        </w:rPr>
        <w:t>provided on the referral form, and/or can be discussed by telephon</w:t>
      </w:r>
      <w:r w:rsidR="00C660A6">
        <w:rPr>
          <w:rFonts w:ascii="Century Gothic" w:hAnsi="Century Gothic"/>
          <w:bCs/>
          <w:color w:val="000000" w:themeColor="text1"/>
          <w:szCs w:val="24"/>
        </w:rPr>
        <w:t>e</w:t>
      </w: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. </w:t>
      </w:r>
    </w:p>
    <w:p w14:paraId="5BD3F57C" w14:textId="6D7D7A39" w:rsidR="008A1218" w:rsidRDefault="008A1218" w:rsidP="00534F3E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</w:p>
    <w:p w14:paraId="1750FA09" w14:textId="62EE92E4" w:rsidR="008A1218" w:rsidRPr="0076109C" w:rsidRDefault="008A1218" w:rsidP="008A1218">
      <w:pPr>
        <w:spacing w:after="0" w:line="240" w:lineRule="auto"/>
        <w:jc w:val="both"/>
        <w:rPr>
          <w:rFonts w:ascii="Century Gothic" w:eastAsia="Times New Roman" w:hAnsi="Century Gothic" w:cs="Arial"/>
          <w:sz w:val="23"/>
          <w:szCs w:val="23"/>
        </w:rPr>
      </w:pPr>
      <w:r>
        <w:rPr>
          <w:rFonts w:ascii="Century Gothic" w:eastAsia="Times New Roman" w:hAnsi="Century Gothic" w:cs="Arial"/>
          <w:sz w:val="23"/>
          <w:szCs w:val="23"/>
        </w:rPr>
        <w:t xml:space="preserve">The Senior Clinical Co-ordinator is a dedicated role </w:t>
      </w:r>
      <w:r w:rsidR="003F364C">
        <w:rPr>
          <w:rFonts w:ascii="Century Gothic" w:eastAsia="Times New Roman" w:hAnsi="Century Gothic" w:cs="Arial"/>
          <w:sz w:val="23"/>
          <w:szCs w:val="23"/>
        </w:rPr>
        <w:t xml:space="preserve">put in place </w:t>
      </w:r>
      <w:r>
        <w:rPr>
          <w:rFonts w:ascii="Century Gothic" w:eastAsia="Times New Roman" w:hAnsi="Century Gothic" w:cs="Arial"/>
          <w:sz w:val="23"/>
          <w:szCs w:val="23"/>
        </w:rPr>
        <w:t>to liaise with local authorities about the admission and discharge planning to support effective transitions.</w:t>
      </w:r>
    </w:p>
    <w:p w14:paraId="01C6D74B" w14:textId="77777777" w:rsidR="008A1218" w:rsidRDefault="008A1218" w:rsidP="00534F3E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</w:p>
    <w:p w14:paraId="1DF02CE9" w14:textId="0411910E" w:rsidR="00D21C60" w:rsidRDefault="00C660A6" w:rsidP="00534F3E">
      <w:pPr>
        <w:spacing w:after="0" w:line="240" w:lineRule="auto"/>
        <w:jc w:val="both"/>
        <w:textAlignment w:val="baseline"/>
        <w:rPr>
          <w:rFonts w:ascii="Century Gothic" w:hAnsi="Century Gothic"/>
          <w:b/>
          <w:bCs/>
          <w:color w:val="000000" w:themeColor="text1"/>
          <w:szCs w:val="24"/>
        </w:rPr>
      </w:pPr>
      <w:r>
        <w:rPr>
          <w:rFonts w:ascii="Century Gothic" w:hAnsi="Century Gothic"/>
          <w:b/>
          <w:bCs/>
          <w:color w:val="000000" w:themeColor="text1"/>
          <w:szCs w:val="24"/>
        </w:rPr>
        <w:t>I</w:t>
      </w:r>
      <w:r w:rsidR="00D21C60" w:rsidRPr="00A17AA7">
        <w:rPr>
          <w:rFonts w:ascii="Century Gothic" w:hAnsi="Century Gothic"/>
          <w:b/>
          <w:bCs/>
          <w:color w:val="000000" w:themeColor="text1"/>
          <w:szCs w:val="24"/>
        </w:rPr>
        <w:t xml:space="preserve">dentification of service users for the </w:t>
      </w:r>
      <w:r w:rsidR="00D21C60">
        <w:rPr>
          <w:rFonts w:ascii="Century Gothic" w:hAnsi="Century Gothic"/>
          <w:b/>
          <w:bCs/>
          <w:color w:val="000000" w:themeColor="text1"/>
          <w:szCs w:val="24"/>
        </w:rPr>
        <w:t>ACCS</w:t>
      </w:r>
    </w:p>
    <w:p w14:paraId="0E90B40C" w14:textId="77777777" w:rsidR="00534F3E" w:rsidRDefault="00534F3E" w:rsidP="00534F3E">
      <w:pPr>
        <w:spacing w:after="0" w:line="240" w:lineRule="auto"/>
        <w:jc w:val="both"/>
        <w:textAlignment w:val="baseline"/>
        <w:rPr>
          <w:rFonts w:ascii="Century Gothic" w:hAnsi="Century Gothic"/>
          <w:b/>
          <w:bCs/>
          <w:color w:val="000000" w:themeColor="text1"/>
          <w:szCs w:val="24"/>
        </w:rPr>
      </w:pPr>
    </w:p>
    <w:p w14:paraId="3464777A" w14:textId="705AF0EF" w:rsidR="00D21C60" w:rsidRDefault="00D21C60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 w:rsidRPr="00A17AA7">
        <w:rPr>
          <w:rFonts w:ascii="Century Gothic" w:hAnsi="Century Gothic"/>
          <w:color w:val="000000" w:themeColor="text1"/>
          <w:szCs w:val="24"/>
        </w:rPr>
        <w:t>The aim of the MHCLG programme is to end rough sleeping</w:t>
      </w:r>
      <w:r w:rsidR="009B680F">
        <w:rPr>
          <w:rFonts w:ascii="Century Gothic" w:hAnsi="Century Gothic"/>
          <w:color w:val="000000" w:themeColor="text1"/>
          <w:szCs w:val="24"/>
        </w:rPr>
        <w:t xml:space="preserve">, 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so issues such as complex mental and physical health needs, no local connection, lack </w:t>
      </w:r>
      <w:r w:rsidR="009B680F">
        <w:rPr>
          <w:rFonts w:ascii="Century Gothic" w:hAnsi="Century Gothic"/>
          <w:color w:val="000000" w:themeColor="text1"/>
          <w:szCs w:val="24"/>
        </w:rPr>
        <w:t xml:space="preserve">of </w:t>
      </w:r>
      <w:r w:rsidRPr="00A17AA7">
        <w:rPr>
          <w:rFonts w:ascii="Century Gothic" w:hAnsi="Century Gothic"/>
          <w:color w:val="000000" w:themeColor="text1"/>
          <w:szCs w:val="24"/>
        </w:rPr>
        <w:t>kennelling for dogs, all of which are often barriers to accessing treatment, are not exclusion criteria.</w:t>
      </w:r>
    </w:p>
    <w:p w14:paraId="163744DE" w14:textId="77777777" w:rsidR="00534F3E" w:rsidRPr="00A17AA7" w:rsidRDefault="00534F3E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</w:p>
    <w:p w14:paraId="2936C195" w14:textId="6A96B959" w:rsidR="00D21C60" w:rsidRDefault="00D21C60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 w:rsidRPr="00A17AA7">
        <w:rPr>
          <w:rFonts w:ascii="Century Gothic" w:hAnsi="Century Gothic"/>
          <w:color w:val="000000" w:themeColor="text1"/>
          <w:szCs w:val="24"/>
        </w:rPr>
        <w:t xml:space="preserve">The </w:t>
      </w:r>
      <w:r>
        <w:rPr>
          <w:rFonts w:ascii="Century Gothic" w:hAnsi="Century Gothic"/>
          <w:color w:val="000000" w:themeColor="text1"/>
          <w:szCs w:val="24"/>
        </w:rPr>
        <w:t>ACCS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 is committed to providing evidence based treatment allowing for safe and effective care for service users. In order to do this, and prior</w:t>
      </w:r>
      <w:r w:rsidR="00B3622C">
        <w:rPr>
          <w:rFonts w:ascii="Century Gothic" w:hAnsi="Century Gothic"/>
          <w:color w:val="000000" w:themeColor="text1"/>
          <w:szCs w:val="24"/>
        </w:rPr>
        <w:t xml:space="preserve"> to 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entering the </w:t>
      </w:r>
      <w:r>
        <w:rPr>
          <w:rFonts w:ascii="Century Gothic" w:hAnsi="Century Gothic"/>
          <w:color w:val="000000" w:themeColor="text1"/>
          <w:szCs w:val="24"/>
        </w:rPr>
        <w:t>ACCS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, it is key that community substance misuse teams are able to demonstrate </w:t>
      </w:r>
      <w:r w:rsidR="009B680F">
        <w:rPr>
          <w:rFonts w:ascii="Century Gothic" w:hAnsi="Century Gothic"/>
          <w:color w:val="000000" w:themeColor="text1"/>
          <w:szCs w:val="24"/>
        </w:rPr>
        <w:t>the service user has engaged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 with the substance misuse care planning process.</w:t>
      </w:r>
    </w:p>
    <w:p w14:paraId="27229689" w14:textId="77777777" w:rsidR="00534F3E" w:rsidRPr="00A17AA7" w:rsidRDefault="00534F3E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</w:p>
    <w:p w14:paraId="72C3B012" w14:textId="6159A7A0" w:rsidR="00D21C60" w:rsidRDefault="00D21C60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 w:rsidRPr="00A17AA7">
        <w:rPr>
          <w:rFonts w:ascii="Century Gothic" w:hAnsi="Century Gothic"/>
          <w:color w:val="000000" w:themeColor="text1"/>
          <w:szCs w:val="24"/>
        </w:rPr>
        <w:t xml:space="preserve">The following outlines the requirements of service users to demonstrate suitability for referral to the </w:t>
      </w:r>
      <w:r>
        <w:rPr>
          <w:rFonts w:ascii="Century Gothic" w:hAnsi="Century Gothic"/>
          <w:color w:val="000000" w:themeColor="text1"/>
          <w:szCs w:val="24"/>
        </w:rPr>
        <w:t>ACCS</w:t>
      </w:r>
      <w:r w:rsidRPr="00A17AA7">
        <w:rPr>
          <w:rFonts w:ascii="Century Gothic" w:hAnsi="Century Gothic"/>
          <w:color w:val="000000" w:themeColor="text1"/>
          <w:szCs w:val="24"/>
        </w:rPr>
        <w:t xml:space="preserve">: </w:t>
      </w:r>
    </w:p>
    <w:p w14:paraId="4780A10E" w14:textId="77777777" w:rsidR="00534F3E" w:rsidRPr="00A17AA7" w:rsidRDefault="00534F3E" w:rsidP="00534F3E">
      <w:pPr>
        <w:spacing w:after="0" w:line="240" w:lineRule="auto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</w:p>
    <w:p w14:paraId="58469A20" w14:textId="76BC19D6" w:rsidR="00D21C60" w:rsidRDefault="00B43CC9" w:rsidP="00BB7D82">
      <w:pPr>
        <w:pStyle w:val="ListParagraph"/>
        <w:numPr>
          <w:ilvl w:val="0"/>
          <w:numId w:val="27"/>
        </w:numPr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</w:t>
      </w:r>
      <w:r w:rsidR="00D21C60" w:rsidRPr="00A17AA7">
        <w:rPr>
          <w:rFonts w:ascii="Century Gothic" w:hAnsi="Century Gothic"/>
          <w:color w:val="000000" w:themeColor="text1"/>
          <w:szCs w:val="24"/>
        </w:rPr>
        <w:t>ervice users are in contact with</w:t>
      </w:r>
      <w:r w:rsidR="00B65240">
        <w:rPr>
          <w:rFonts w:ascii="Century Gothic" w:hAnsi="Century Gothic"/>
          <w:color w:val="000000" w:themeColor="text1"/>
          <w:szCs w:val="24"/>
        </w:rPr>
        <w:t>,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 and being referred by</w:t>
      </w:r>
      <w:r w:rsidR="00B65240">
        <w:rPr>
          <w:rFonts w:ascii="Century Gothic" w:hAnsi="Century Gothic"/>
          <w:color w:val="000000" w:themeColor="text1"/>
          <w:szCs w:val="24"/>
        </w:rPr>
        <w:t>,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 </w:t>
      </w:r>
      <w:r w:rsidR="00B65240">
        <w:rPr>
          <w:rFonts w:ascii="Century Gothic" w:hAnsi="Century Gothic"/>
          <w:color w:val="000000" w:themeColor="text1"/>
          <w:szCs w:val="24"/>
        </w:rPr>
        <w:t>a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 community substance misuse team </w:t>
      </w:r>
    </w:p>
    <w:p w14:paraId="7F516752" w14:textId="77777777" w:rsidR="00B3622C" w:rsidRDefault="00B65240" w:rsidP="00BB7D82">
      <w:pPr>
        <w:pStyle w:val="ListParagraph"/>
        <w:numPr>
          <w:ilvl w:val="0"/>
          <w:numId w:val="27"/>
        </w:numPr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</w:t>
      </w:r>
      <w:r w:rsidR="00D21C60" w:rsidRPr="00973790">
        <w:rPr>
          <w:rFonts w:ascii="Century Gothic" w:hAnsi="Century Gothic"/>
          <w:color w:val="000000" w:themeColor="text1"/>
          <w:szCs w:val="24"/>
        </w:rPr>
        <w:t>ommunity substance misuse teams are satisfied that service users have engage</w:t>
      </w:r>
      <w:r w:rsidR="007515C8">
        <w:rPr>
          <w:rFonts w:ascii="Century Gothic" w:hAnsi="Century Gothic"/>
          <w:color w:val="000000" w:themeColor="text1"/>
          <w:szCs w:val="24"/>
        </w:rPr>
        <w:t>d in the</w:t>
      </w:r>
      <w:r w:rsidR="00D21C60" w:rsidRPr="00973790">
        <w:rPr>
          <w:rFonts w:ascii="Century Gothic" w:hAnsi="Century Gothic"/>
          <w:color w:val="000000" w:themeColor="text1"/>
          <w:szCs w:val="24"/>
        </w:rPr>
        <w:t xml:space="preserve"> preparation for detox</w:t>
      </w:r>
      <w:r w:rsidR="00B3622C">
        <w:rPr>
          <w:rFonts w:ascii="Century Gothic" w:hAnsi="Century Gothic"/>
          <w:color w:val="000000" w:themeColor="text1"/>
          <w:szCs w:val="24"/>
        </w:rPr>
        <w:t>ification</w:t>
      </w:r>
    </w:p>
    <w:p w14:paraId="4E04D1FE" w14:textId="04972660" w:rsidR="00D21C60" w:rsidRDefault="007515C8" w:rsidP="00BB7D82">
      <w:pPr>
        <w:pStyle w:val="ListParagraph"/>
        <w:numPr>
          <w:ilvl w:val="0"/>
          <w:numId w:val="27"/>
        </w:numPr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</w:t>
      </w:r>
      <w:r w:rsidR="00D21C60" w:rsidRPr="00973790">
        <w:rPr>
          <w:rFonts w:ascii="Century Gothic" w:hAnsi="Century Gothic"/>
          <w:color w:val="000000" w:themeColor="text1"/>
          <w:szCs w:val="24"/>
        </w:rPr>
        <w:t xml:space="preserve">etails of </w:t>
      </w:r>
      <w:r>
        <w:rPr>
          <w:rFonts w:ascii="Century Gothic" w:hAnsi="Century Gothic"/>
          <w:color w:val="000000" w:themeColor="text1"/>
          <w:szCs w:val="24"/>
        </w:rPr>
        <w:t xml:space="preserve">appropriate </w:t>
      </w:r>
      <w:r w:rsidR="00D21C60" w:rsidRPr="00973790">
        <w:rPr>
          <w:rFonts w:ascii="Century Gothic" w:hAnsi="Century Gothic"/>
          <w:color w:val="000000" w:themeColor="text1"/>
          <w:szCs w:val="24"/>
        </w:rPr>
        <w:t xml:space="preserve">housing or step-down in place </w:t>
      </w:r>
      <w:r>
        <w:rPr>
          <w:rFonts w:ascii="Century Gothic" w:hAnsi="Century Gothic"/>
          <w:color w:val="000000" w:themeColor="text1"/>
          <w:szCs w:val="24"/>
        </w:rPr>
        <w:t xml:space="preserve">for the service user </w:t>
      </w:r>
      <w:r w:rsidR="00D21C60" w:rsidRPr="00973790">
        <w:rPr>
          <w:rFonts w:ascii="Century Gothic" w:hAnsi="Century Gothic"/>
          <w:color w:val="000000" w:themeColor="text1"/>
          <w:szCs w:val="24"/>
        </w:rPr>
        <w:t>post detoxification</w:t>
      </w:r>
    </w:p>
    <w:p w14:paraId="29F8DE62" w14:textId="3B3C6084" w:rsidR="00D21C60" w:rsidRDefault="007515C8" w:rsidP="00BB7D82">
      <w:pPr>
        <w:pStyle w:val="ListParagraph"/>
        <w:numPr>
          <w:ilvl w:val="0"/>
          <w:numId w:val="27"/>
        </w:numPr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</w:t>
      </w:r>
      <w:r w:rsidR="00D21C60" w:rsidRPr="00973790">
        <w:rPr>
          <w:rFonts w:ascii="Century Gothic" w:hAnsi="Century Gothic"/>
          <w:color w:val="000000" w:themeColor="text1"/>
          <w:szCs w:val="24"/>
        </w:rPr>
        <w:t>onfirmation of ongoing substance misuse support</w:t>
      </w:r>
      <w:r>
        <w:rPr>
          <w:rFonts w:ascii="Century Gothic" w:hAnsi="Century Gothic"/>
          <w:color w:val="000000" w:themeColor="text1"/>
          <w:szCs w:val="24"/>
        </w:rPr>
        <w:t xml:space="preserve"> post-d</w:t>
      </w:r>
      <w:r w:rsidR="00B3622C">
        <w:rPr>
          <w:rFonts w:ascii="Century Gothic" w:hAnsi="Century Gothic"/>
          <w:color w:val="000000" w:themeColor="text1"/>
          <w:szCs w:val="24"/>
        </w:rPr>
        <w:t>ischarge</w:t>
      </w:r>
    </w:p>
    <w:p w14:paraId="164F7AE7" w14:textId="00BE76BE" w:rsidR="003F364C" w:rsidRDefault="003F364C" w:rsidP="00BB7D82">
      <w:pPr>
        <w:pStyle w:val="ListParagraph"/>
        <w:numPr>
          <w:ilvl w:val="0"/>
          <w:numId w:val="27"/>
        </w:numPr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Aged 18 or over</w:t>
      </w:r>
    </w:p>
    <w:p w14:paraId="3B7D0DB7" w14:textId="77777777" w:rsidR="004A44A4" w:rsidRPr="00973790" w:rsidRDefault="004A44A4" w:rsidP="004A44A4">
      <w:pPr>
        <w:pStyle w:val="ListParagraph"/>
        <w:spacing w:after="0" w:line="240" w:lineRule="auto"/>
        <w:ind w:left="360"/>
        <w:contextualSpacing w:val="0"/>
        <w:jc w:val="both"/>
        <w:textAlignment w:val="baseline"/>
        <w:rPr>
          <w:rFonts w:ascii="Century Gothic" w:hAnsi="Century Gothic"/>
          <w:color w:val="000000" w:themeColor="text1"/>
          <w:szCs w:val="24"/>
        </w:rPr>
      </w:pPr>
    </w:p>
    <w:p w14:paraId="74D5690F" w14:textId="39F9B440" w:rsidR="00D21C60" w:rsidRDefault="004A44A4" w:rsidP="004A44A4">
      <w:pPr>
        <w:spacing w:after="0" w:line="240" w:lineRule="auto"/>
        <w:jc w:val="both"/>
        <w:rPr>
          <w:rFonts w:ascii="Century Gothic" w:hAnsi="Century Gothic"/>
          <w:bCs/>
          <w:color w:val="000000" w:themeColor="text1"/>
          <w:szCs w:val="24"/>
        </w:rPr>
      </w:pPr>
      <w:r>
        <w:rPr>
          <w:rFonts w:ascii="Century Gothic" w:hAnsi="Century Gothic"/>
          <w:bCs/>
          <w:color w:val="000000" w:themeColor="text1"/>
          <w:szCs w:val="24"/>
        </w:rPr>
        <w:t>In addition</w:t>
      </w:r>
      <w:r w:rsidR="003F364C">
        <w:rPr>
          <w:rFonts w:ascii="Century Gothic" w:hAnsi="Century Gothic"/>
          <w:bCs/>
          <w:color w:val="000000" w:themeColor="text1"/>
          <w:szCs w:val="24"/>
        </w:rPr>
        <w:t>, please note</w:t>
      </w:r>
      <w:r>
        <w:rPr>
          <w:rFonts w:ascii="Century Gothic" w:hAnsi="Century Gothic"/>
          <w:bCs/>
          <w:color w:val="000000" w:themeColor="text1"/>
          <w:szCs w:val="24"/>
        </w:rPr>
        <w:t xml:space="preserve">: </w:t>
      </w:r>
    </w:p>
    <w:p w14:paraId="2C08F2A4" w14:textId="77777777" w:rsidR="004A44A4" w:rsidRPr="00A17AA7" w:rsidRDefault="004A44A4" w:rsidP="004A44A4">
      <w:pPr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Cs w:val="24"/>
        </w:rPr>
      </w:pPr>
    </w:p>
    <w:p w14:paraId="3A2C4B7A" w14:textId="77777777" w:rsidR="00D21C60" w:rsidRPr="00A17AA7" w:rsidRDefault="00D21C60" w:rsidP="004A44A4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Century Gothic" w:hAnsi="Century Gothic"/>
          <w:b/>
          <w:bCs/>
          <w:color w:val="000000" w:themeColor="text1"/>
          <w:szCs w:val="24"/>
        </w:rPr>
      </w:pPr>
      <w:r w:rsidRPr="00A17AA7">
        <w:rPr>
          <w:rFonts w:ascii="Century Gothic" w:hAnsi="Century Gothic"/>
          <w:bCs/>
          <w:color w:val="000000" w:themeColor="text1"/>
          <w:szCs w:val="24"/>
        </w:rPr>
        <w:t xml:space="preserve">Admission is for detoxification of alcohol and or drugs in people who are homeless who have complex needs (e.g. medical comorbidities) that </w:t>
      </w:r>
      <w:r w:rsidRPr="00A17AA7">
        <w:rPr>
          <w:rFonts w:ascii="Century Gothic" w:hAnsi="Century Gothic"/>
          <w:szCs w:val="24"/>
        </w:rPr>
        <w:t>otherwise are considered too unstable to be treated elsewhere</w:t>
      </w:r>
    </w:p>
    <w:p w14:paraId="505857DE" w14:textId="77777777" w:rsidR="00D21C60" w:rsidRPr="004A44A4" w:rsidRDefault="00D21C60" w:rsidP="004A44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Cs w:val="24"/>
        </w:rPr>
      </w:pPr>
      <w:r w:rsidRPr="004A44A4">
        <w:rPr>
          <w:rFonts w:ascii="Century Gothic" w:hAnsi="Century Gothic"/>
          <w:bCs/>
          <w:color w:val="000000" w:themeColor="text1"/>
          <w:szCs w:val="24"/>
        </w:rPr>
        <w:t xml:space="preserve">There is no limit on alcohol use </w:t>
      </w:r>
    </w:p>
    <w:p w14:paraId="682FC39A" w14:textId="6ED800DF" w:rsidR="00D21C60" w:rsidRPr="004A44A4" w:rsidRDefault="00D21C60" w:rsidP="004A44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Cs w:val="24"/>
        </w:rPr>
      </w:pPr>
      <w:r w:rsidRPr="004A44A4">
        <w:rPr>
          <w:rFonts w:ascii="Century Gothic" w:hAnsi="Century Gothic"/>
          <w:bCs/>
          <w:color w:val="000000" w:themeColor="text1"/>
          <w:szCs w:val="24"/>
        </w:rPr>
        <w:t xml:space="preserve">Recent blood </w:t>
      </w:r>
      <w:r w:rsidR="00B3622C">
        <w:rPr>
          <w:rFonts w:ascii="Century Gothic" w:hAnsi="Century Gothic"/>
          <w:bCs/>
          <w:color w:val="000000" w:themeColor="text1"/>
          <w:szCs w:val="24"/>
        </w:rPr>
        <w:t xml:space="preserve">test </w:t>
      </w:r>
      <w:r w:rsidRPr="004A44A4">
        <w:rPr>
          <w:rFonts w:ascii="Century Gothic" w:hAnsi="Century Gothic"/>
          <w:bCs/>
          <w:color w:val="000000" w:themeColor="text1"/>
          <w:szCs w:val="24"/>
        </w:rPr>
        <w:t>results are desirable but not mandatory</w:t>
      </w:r>
    </w:p>
    <w:p w14:paraId="72A7A113" w14:textId="6909E3FF" w:rsidR="00534F3E" w:rsidRPr="004A44A4" w:rsidRDefault="00D21C60" w:rsidP="004A44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4A44A4">
        <w:rPr>
          <w:rFonts w:ascii="Century Gothic" w:hAnsi="Century Gothic"/>
          <w:color w:val="000000" w:themeColor="text1"/>
          <w:szCs w:val="24"/>
        </w:rPr>
        <w:t xml:space="preserve">Opioid users will be assessed for detoxification on a case by case basis.  </w:t>
      </w:r>
      <w:r w:rsidR="00B3622C">
        <w:rPr>
          <w:rFonts w:ascii="Century Gothic" w:hAnsi="Century Gothic"/>
          <w:color w:val="000000" w:themeColor="text1"/>
          <w:szCs w:val="24"/>
        </w:rPr>
        <w:t>O</w:t>
      </w:r>
      <w:r w:rsidRPr="004A44A4">
        <w:rPr>
          <w:rFonts w:ascii="Century Gothic" w:hAnsi="Century Gothic"/>
          <w:color w:val="000000" w:themeColor="text1"/>
          <w:szCs w:val="24"/>
        </w:rPr>
        <w:t xml:space="preserve">pioid use may have been stabilised as part of community substance misuse treatment, but this is not a pre-requisite for entry. </w:t>
      </w:r>
    </w:p>
    <w:p w14:paraId="4B961FA2" w14:textId="77777777" w:rsidR="00534F3E" w:rsidRPr="00534F3E" w:rsidRDefault="00534F3E" w:rsidP="00BB7D82">
      <w:pPr>
        <w:pStyle w:val="ListParagraph"/>
        <w:spacing w:after="0" w:line="240" w:lineRule="auto"/>
        <w:ind w:left="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</w:p>
    <w:p w14:paraId="234ACE6B" w14:textId="35183AAF" w:rsidR="00D21C60" w:rsidRDefault="00D21C60" w:rsidP="00BB7D82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  <w:r w:rsidRPr="00A17AA7">
        <w:rPr>
          <w:rFonts w:ascii="Century Gothic" w:hAnsi="Century Gothic"/>
          <w:color w:val="000000" w:themeColor="text1"/>
          <w:szCs w:val="24"/>
        </w:rPr>
        <w:t>Certain groups will be prioritised including:</w:t>
      </w:r>
    </w:p>
    <w:p w14:paraId="7D90203D" w14:textId="77777777" w:rsidR="00534F3E" w:rsidRDefault="00534F3E" w:rsidP="00BB7D82">
      <w:pPr>
        <w:spacing w:after="0" w:line="240" w:lineRule="auto"/>
        <w:jc w:val="both"/>
        <w:rPr>
          <w:rFonts w:ascii="Century Gothic" w:hAnsi="Century Gothic"/>
          <w:color w:val="000000" w:themeColor="text1"/>
          <w:szCs w:val="24"/>
        </w:rPr>
      </w:pPr>
    </w:p>
    <w:p w14:paraId="5BA5C218" w14:textId="1ABCA4B9" w:rsidR="00D21C60" w:rsidRPr="00A17AA7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regnant women: referrals for service users who are pregnant will be assessed on a case by case basis with the community substance misuse team clinician and the </w:t>
      </w:r>
      <w:r w:rsidR="00D21C60">
        <w:rPr>
          <w:rFonts w:ascii="Century Gothic" w:hAnsi="Century Gothic"/>
          <w:color w:val="000000" w:themeColor="text1"/>
          <w:szCs w:val="24"/>
        </w:rPr>
        <w:t>ACCS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 MDT. Admission to the </w:t>
      </w:r>
      <w:r w:rsidR="00D21C60">
        <w:rPr>
          <w:rFonts w:ascii="Century Gothic" w:hAnsi="Century Gothic"/>
          <w:color w:val="000000" w:themeColor="text1"/>
          <w:szCs w:val="24"/>
        </w:rPr>
        <w:t>ACCS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 will be dependent on the stage of pregnancy, the treatment required and assessment through an across site MDT including maternity services</w:t>
      </w:r>
    </w:p>
    <w:p w14:paraId="01140A4F" w14:textId="4F10B7CC" w:rsidR="00D21C60" w:rsidRPr="00A17AA7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szCs w:val="24"/>
        </w:rPr>
        <w:t>S</w:t>
      </w:r>
      <w:r w:rsidR="00D21C60" w:rsidRPr="00A17AA7">
        <w:rPr>
          <w:rFonts w:ascii="Century Gothic" w:hAnsi="Century Gothic"/>
          <w:szCs w:val="24"/>
        </w:rPr>
        <w:t>ervice users with diagnosed severe and enduring mental health illness</w:t>
      </w:r>
    </w:p>
    <w:p w14:paraId="78DC2847" w14:textId="47288C31" w:rsidR="00D21C60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</w:t>
      </w:r>
      <w:r w:rsidR="00D21C60" w:rsidRPr="00A17AA7">
        <w:rPr>
          <w:rFonts w:ascii="Century Gothic" w:hAnsi="Century Gothic"/>
          <w:color w:val="000000" w:themeColor="text1"/>
          <w:szCs w:val="24"/>
        </w:rPr>
        <w:t>pioid and poly drug users with high risk behaviours such as high risk injecting including injecting into femoral blood vessels at the groin; injection related thrombosis and infection/abscesses; sexual risk behaviour</w:t>
      </w:r>
    </w:p>
    <w:p w14:paraId="310212BF" w14:textId="1DCF9B27" w:rsidR="00D21C60" w:rsidRPr="00A17AA7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</w:t>
      </w:r>
      <w:r w:rsidR="00D21C60" w:rsidRPr="00A17AA7">
        <w:rPr>
          <w:rFonts w:ascii="Century Gothic" w:hAnsi="Century Gothic"/>
          <w:color w:val="000000" w:themeColor="text1"/>
          <w:szCs w:val="24"/>
        </w:rPr>
        <w:t>igh risk complicated alcohol withdrawal (previous delirium tremens, seizures, arrhythmias)</w:t>
      </w:r>
    </w:p>
    <w:p w14:paraId="3795FE6E" w14:textId="0560CD31" w:rsidR="00D21C60" w:rsidRPr="00A17AA7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vidence of current alcohol-related morbidity (reduced cognition, regular seizures) </w:t>
      </w:r>
    </w:p>
    <w:p w14:paraId="104EA206" w14:textId="108CA326" w:rsidR="00BB7D82" w:rsidRPr="00A17AA7" w:rsidRDefault="00534F3E" w:rsidP="00BB7D82">
      <w:pPr>
        <w:pStyle w:val="ListParagraph"/>
        <w:numPr>
          <w:ilvl w:val="0"/>
          <w:numId w:val="26"/>
        </w:numPr>
        <w:spacing w:after="0" w:line="240" w:lineRule="auto"/>
        <w:ind w:left="360"/>
        <w:contextualSpacing w:val="0"/>
        <w:jc w:val="both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</w:t>
      </w:r>
      <w:r w:rsidR="00D21C60" w:rsidRPr="00A17AA7">
        <w:rPr>
          <w:rFonts w:ascii="Century Gothic" w:hAnsi="Century Gothic"/>
          <w:color w:val="000000" w:themeColor="text1"/>
          <w:szCs w:val="24"/>
        </w:rPr>
        <w:t xml:space="preserve">ependent drinkers who have complex medical comorbidities requiring clinical assessment or in whom detoxification may result in a subsequent deterioration of their medical health. </w:t>
      </w:r>
      <w:r>
        <w:rPr>
          <w:rFonts w:ascii="Century Gothic" w:hAnsi="Century Gothic"/>
          <w:color w:val="000000" w:themeColor="text1"/>
          <w:szCs w:val="24"/>
        </w:rPr>
        <w:t xml:space="preserve">A full list of </w:t>
      </w:r>
      <w:r w:rsidR="003D477B">
        <w:rPr>
          <w:rFonts w:ascii="Century Gothic" w:hAnsi="Century Gothic"/>
          <w:color w:val="000000" w:themeColor="text1"/>
          <w:szCs w:val="24"/>
        </w:rPr>
        <w:t>likely</w:t>
      </w:r>
      <w:r>
        <w:rPr>
          <w:rFonts w:ascii="Century Gothic" w:hAnsi="Century Gothic"/>
          <w:color w:val="000000" w:themeColor="text1"/>
          <w:szCs w:val="24"/>
        </w:rPr>
        <w:t xml:space="preserve"> </w:t>
      </w:r>
      <w:r w:rsidR="00BB7D82">
        <w:rPr>
          <w:rFonts w:ascii="Century Gothic" w:hAnsi="Century Gothic"/>
          <w:color w:val="000000" w:themeColor="text1"/>
          <w:szCs w:val="24"/>
        </w:rPr>
        <w:t xml:space="preserve">medical </w:t>
      </w:r>
      <w:r w:rsidR="003D477B">
        <w:rPr>
          <w:rFonts w:ascii="Century Gothic" w:hAnsi="Century Gothic"/>
          <w:color w:val="000000" w:themeColor="text1"/>
          <w:szCs w:val="24"/>
        </w:rPr>
        <w:t>comorbidities</w:t>
      </w:r>
      <w:r w:rsidR="00BB7D82">
        <w:rPr>
          <w:rFonts w:ascii="Century Gothic" w:hAnsi="Century Gothic"/>
          <w:color w:val="000000" w:themeColor="text1"/>
          <w:szCs w:val="24"/>
        </w:rPr>
        <w:t xml:space="preserve"> is contained within Appendix 2 of the Service Specification. </w:t>
      </w:r>
    </w:p>
    <w:p w14:paraId="661E9BA8" w14:textId="77777777" w:rsidR="00D21C60" w:rsidRPr="00A17AA7" w:rsidRDefault="00D21C60" w:rsidP="00534F3E">
      <w:pPr>
        <w:spacing w:after="0" w:line="240" w:lineRule="auto"/>
        <w:jc w:val="both"/>
        <w:textAlignment w:val="baseline"/>
        <w:rPr>
          <w:rFonts w:ascii="Century Gothic" w:hAnsi="Century Gothic"/>
          <w:b/>
          <w:bCs/>
          <w:szCs w:val="24"/>
        </w:rPr>
      </w:pPr>
    </w:p>
    <w:p w14:paraId="2EEDB84D" w14:textId="18A59738" w:rsidR="00707EE0" w:rsidRPr="0076109C" w:rsidRDefault="00D21C60" w:rsidP="003F364C">
      <w:pPr>
        <w:spacing w:after="0" w:line="240" w:lineRule="auto"/>
        <w:jc w:val="both"/>
        <w:textAlignment w:val="baseline"/>
        <w:rPr>
          <w:rStyle w:val="normaltextrun"/>
          <w:rFonts w:ascii="Century Gothic" w:hAnsi="Century Gothic" w:cs="Calibri"/>
          <w:sz w:val="23"/>
          <w:szCs w:val="23"/>
        </w:rPr>
      </w:pPr>
      <w:r w:rsidRPr="00A17AA7">
        <w:rPr>
          <w:rFonts w:ascii="Century Gothic" w:hAnsi="Century Gothic"/>
          <w:b/>
          <w:bCs/>
          <w:szCs w:val="24"/>
        </w:rPr>
        <w:t xml:space="preserve">If there are additional complex issues or medical comorbidities that are thought to </w:t>
      </w:r>
      <w:r w:rsidR="003D477B">
        <w:rPr>
          <w:rFonts w:ascii="Century Gothic" w:hAnsi="Century Gothic"/>
          <w:b/>
          <w:bCs/>
          <w:szCs w:val="24"/>
        </w:rPr>
        <w:t xml:space="preserve">make the referral </w:t>
      </w:r>
      <w:r w:rsidRPr="00A17AA7">
        <w:rPr>
          <w:rFonts w:ascii="Century Gothic" w:hAnsi="Century Gothic"/>
          <w:b/>
          <w:bCs/>
          <w:szCs w:val="24"/>
        </w:rPr>
        <w:t>a priority</w:t>
      </w:r>
      <w:r w:rsidR="003D477B">
        <w:rPr>
          <w:rFonts w:ascii="Century Gothic" w:hAnsi="Century Gothic"/>
          <w:b/>
          <w:bCs/>
          <w:szCs w:val="24"/>
        </w:rPr>
        <w:t xml:space="preserve">, </w:t>
      </w:r>
      <w:r w:rsidRPr="00A17AA7">
        <w:rPr>
          <w:rFonts w:ascii="Century Gothic" w:hAnsi="Century Gothic"/>
          <w:b/>
          <w:bCs/>
          <w:szCs w:val="24"/>
        </w:rPr>
        <w:t>these should be outlined in the referral form for consideration</w:t>
      </w:r>
      <w:r>
        <w:rPr>
          <w:rFonts w:ascii="Century Gothic" w:hAnsi="Century Gothic"/>
          <w:b/>
          <w:bCs/>
          <w:szCs w:val="24"/>
        </w:rPr>
        <w:t>.</w:t>
      </w:r>
    </w:p>
    <w:sectPr w:rsidR="00707EE0" w:rsidRPr="0076109C" w:rsidSect="000441AB">
      <w:pgSz w:w="11906" w:h="16838"/>
      <w:pgMar w:top="709" w:right="849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D4F2" w14:textId="77777777" w:rsidR="000F345F" w:rsidRDefault="000F345F" w:rsidP="003B461A">
      <w:pPr>
        <w:spacing w:after="0" w:line="240" w:lineRule="auto"/>
      </w:pPr>
      <w:r>
        <w:separator/>
      </w:r>
    </w:p>
  </w:endnote>
  <w:endnote w:type="continuationSeparator" w:id="0">
    <w:p w14:paraId="2E0C83D7" w14:textId="77777777" w:rsidR="000F345F" w:rsidRDefault="000F345F" w:rsidP="003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5E22" w14:textId="77777777" w:rsidR="000F345F" w:rsidRDefault="000F345F" w:rsidP="003B461A">
      <w:pPr>
        <w:spacing w:after="0" w:line="240" w:lineRule="auto"/>
      </w:pPr>
      <w:r>
        <w:separator/>
      </w:r>
    </w:p>
  </w:footnote>
  <w:footnote w:type="continuationSeparator" w:id="0">
    <w:p w14:paraId="2E79134E" w14:textId="77777777" w:rsidR="000F345F" w:rsidRDefault="000F345F" w:rsidP="003B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341"/>
    <w:multiLevelType w:val="multilevel"/>
    <w:tmpl w:val="0D5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B0C09"/>
    <w:multiLevelType w:val="multilevel"/>
    <w:tmpl w:val="E1A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34276"/>
    <w:multiLevelType w:val="hybridMultilevel"/>
    <w:tmpl w:val="CED67A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A902F7"/>
    <w:multiLevelType w:val="multilevel"/>
    <w:tmpl w:val="B80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17335"/>
    <w:multiLevelType w:val="hybridMultilevel"/>
    <w:tmpl w:val="269EF8B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C4572"/>
    <w:multiLevelType w:val="multilevel"/>
    <w:tmpl w:val="F90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DC6AD6"/>
    <w:multiLevelType w:val="hybridMultilevel"/>
    <w:tmpl w:val="B5D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5648"/>
    <w:multiLevelType w:val="multilevel"/>
    <w:tmpl w:val="C3F04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45921"/>
    <w:multiLevelType w:val="multilevel"/>
    <w:tmpl w:val="34C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60120F"/>
    <w:multiLevelType w:val="hybridMultilevel"/>
    <w:tmpl w:val="01E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5A07"/>
    <w:multiLevelType w:val="multilevel"/>
    <w:tmpl w:val="115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446773"/>
    <w:multiLevelType w:val="multilevel"/>
    <w:tmpl w:val="DE3A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261730"/>
    <w:multiLevelType w:val="hybridMultilevel"/>
    <w:tmpl w:val="90D49568"/>
    <w:lvl w:ilvl="0" w:tplc="28801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A5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69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2F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CE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CE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E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2B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24812"/>
    <w:multiLevelType w:val="hybridMultilevel"/>
    <w:tmpl w:val="46967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34237"/>
    <w:multiLevelType w:val="hybridMultilevel"/>
    <w:tmpl w:val="DF60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5D32"/>
    <w:multiLevelType w:val="hybridMultilevel"/>
    <w:tmpl w:val="30B04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73DCE"/>
    <w:multiLevelType w:val="multilevel"/>
    <w:tmpl w:val="B38C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2B00FE"/>
    <w:multiLevelType w:val="multilevel"/>
    <w:tmpl w:val="854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5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13"/>
    <w:rsid w:val="000305D3"/>
    <w:rsid w:val="000441AB"/>
    <w:rsid w:val="000A00AE"/>
    <w:rsid w:val="000F0844"/>
    <w:rsid w:val="000F345F"/>
    <w:rsid w:val="000F40A6"/>
    <w:rsid w:val="00104DB1"/>
    <w:rsid w:val="00141AA5"/>
    <w:rsid w:val="001502A1"/>
    <w:rsid w:val="001847CB"/>
    <w:rsid w:val="00190213"/>
    <w:rsid w:val="001A0CB6"/>
    <w:rsid w:val="001A1163"/>
    <w:rsid w:val="001D1FA0"/>
    <w:rsid w:val="001E2EB8"/>
    <w:rsid w:val="001E5DDB"/>
    <w:rsid w:val="00231C81"/>
    <w:rsid w:val="00241121"/>
    <w:rsid w:val="00245899"/>
    <w:rsid w:val="002545B1"/>
    <w:rsid w:val="002829FF"/>
    <w:rsid w:val="002F3FC5"/>
    <w:rsid w:val="00342BD8"/>
    <w:rsid w:val="0034409E"/>
    <w:rsid w:val="00390B07"/>
    <w:rsid w:val="003B461A"/>
    <w:rsid w:val="003D477B"/>
    <w:rsid w:val="003E1704"/>
    <w:rsid w:val="003F364C"/>
    <w:rsid w:val="003F4F21"/>
    <w:rsid w:val="004A44A4"/>
    <w:rsid w:val="004E2B4A"/>
    <w:rsid w:val="004F687F"/>
    <w:rsid w:val="00521839"/>
    <w:rsid w:val="005250CF"/>
    <w:rsid w:val="00534F3E"/>
    <w:rsid w:val="0054359B"/>
    <w:rsid w:val="005C5D93"/>
    <w:rsid w:val="005D53A4"/>
    <w:rsid w:val="005E361D"/>
    <w:rsid w:val="00641FF8"/>
    <w:rsid w:val="0064386F"/>
    <w:rsid w:val="006469F7"/>
    <w:rsid w:val="00661350"/>
    <w:rsid w:val="006635EC"/>
    <w:rsid w:val="00690A36"/>
    <w:rsid w:val="006D1A1E"/>
    <w:rsid w:val="00707EE0"/>
    <w:rsid w:val="0072109C"/>
    <w:rsid w:val="0072378B"/>
    <w:rsid w:val="0074224A"/>
    <w:rsid w:val="007515C8"/>
    <w:rsid w:val="0076109C"/>
    <w:rsid w:val="00785BE2"/>
    <w:rsid w:val="007A2545"/>
    <w:rsid w:val="007C5CA2"/>
    <w:rsid w:val="007E0DF1"/>
    <w:rsid w:val="008111FF"/>
    <w:rsid w:val="00811C9C"/>
    <w:rsid w:val="00811D9B"/>
    <w:rsid w:val="008140D0"/>
    <w:rsid w:val="008A1218"/>
    <w:rsid w:val="0092005B"/>
    <w:rsid w:val="00980B16"/>
    <w:rsid w:val="00983BB1"/>
    <w:rsid w:val="00983DDA"/>
    <w:rsid w:val="009B680F"/>
    <w:rsid w:val="00A23320"/>
    <w:rsid w:val="00A37199"/>
    <w:rsid w:val="00A56B11"/>
    <w:rsid w:val="00A749AC"/>
    <w:rsid w:val="00AD327E"/>
    <w:rsid w:val="00AE37BD"/>
    <w:rsid w:val="00B01F1C"/>
    <w:rsid w:val="00B3622C"/>
    <w:rsid w:val="00B43CC9"/>
    <w:rsid w:val="00B65240"/>
    <w:rsid w:val="00B90DE3"/>
    <w:rsid w:val="00B924D8"/>
    <w:rsid w:val="00BA0E31"/>
    <w:rsid w:val="00BB7D82"/>
    <w:rsid w:val="00BD2B1C"/>
    <w:rsid w:val="00BD7275"/>
    <w:rsid w:val="00C20EAD"/>
    <w:rsid w:val="00C500CB"/>
    <w:rsid w:val="00C660A6"/>
    <w:rsid w:val="00CB0B70"/>
    <w:rsid w:val="00CB37C6"/>
    <w:rsid w:val="00CC5E7B"/>
    <w:rsid w:val="00D05570"/>
    <w:rsid w:val="00D13479"/>
    <w:rsid w:val="00D21C60"/>
    <w:rsid w:val="00D32C9B"/>
    <w:rsid w:val="00D77613"/>
    <w:rsid w:val="00DD2AE1"/>
    <w:rsid w:val="00E11556"/>
    <w:rsid w:val="00E1329E"/>
    <w:rsid w:val="00E37597"/>
    <w:rsid w:val="00E41EC6"/>
    <w:rsid w:val="00F65A17"/>
    <w:rsid w:val="00F9697A"/>
    <w:rsid w:val="00FA2DC8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01E45"/>
  <w15:chartTrackingRefBased/>
  <w15:docId w15:val="{72F8C11A-72D1-4BA5-A036-93EB016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A6"/>
  </w:style>
  <w:style w:type="paragraph" w:styleId="Heading1">
    <w:name w:val="heading 1"/>
    <w:basedOn w:val="Normal"/>
    <w:next w:val="Normal"/>
    <w:link w:val="Heading1Char"/>
    <w:uiPriority w:val="9"/>
    <w:qFormat/>
    <w:rsid w:val="000F40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0A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0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0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0A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0A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0A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0213"/>
  </w:style>
  <w:style w:type="character" w:customStyle="1" w:styleId="eop">
    <w:name w:val="eop"/>
    <w:basedOn w:val="DefaultParagraphFont"/>
    <w:rsid w:val="00190213"/>
  </w:style>
  <w:style w:type="paragraph" w:styleId="ListParagraph">
    <w:name w:val="List Paragraph"/>
    <w:basedOn w:val="Normal"/>
    <w:link w:val="ListParagraphChar"/>
    <w:qFormat/>
    <w:rsid w:val="006D1A1E"/>
    <w:pPr>
      <w:ind w:left="720"/>
      <w:contextualSpacing/>
    </w:pPr>
  </w:style>
  <w:style w:type="table" w:customStyle="1" w:styleId="LightList-Accent15">
    <w:name w:val="Light List - Accent 15"/>
    <w:basedOn w:val="TableNormal"/>
    <w:next w:val="LightList-Accent1"/>
    <w:uiPriority w:val="61"/>
    <w:rsid w:val="006D1A1E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1A1E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TableGrid">
    <w:name w:val="Table Grid"/>
    <w:basedOn w:val="TableNormal"/>
    <w:uiPriority w:val="59"/>
    <w:rsid w:val="0054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0A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0A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0A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0A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0A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0A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0A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0A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0A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0A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F40A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40A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0A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0A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F40A6"/>
    <w:rPr>
      <w:b/>
      <w:bCs/>
    </w:rPr>
  </w:style>
  <w:style w:type="character" w:styleId="Emphasis">
    <w:name w:val="Emphasis"/>
    <w:basedOn w:val="DefaultParagraphFont"/>
    <w:uiPriority w:val="20"/>
    <w:qFormat/>
    <w:rsid w:val="000F40A6"/>
    <w:rPr>
      <w:i/>
      <w:iCs/>
    </w:rPr>
  </w:style>
  <w:style w:type="paragraph" w:styleId="NoSpacing">
    <w:name w:val="No Spacing"/>
    <w:uiPriority w:val="1"/>
    <w:qFormat/>
    <w:rsid w:val="000F40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40A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F40A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0A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0A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F40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40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40A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40A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F40A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109C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09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locked/>
    <w:rsid w:val="00D21C60"/>
  </w:style>
  <w:style w:type="character" w:styleId="CommentReference">
    <w:name w:val="annotation reference"/>
    <w:basedOn w:val="DefaultParagraphFont"/>
    <w:uiPriority w:val="99"/>
    <w:semiHidden/>
    <w:unhideWhenUsed/>
    <w:rsid w:val="0028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binfield@cityoflond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D0462B5A2B0419358144C4E4DAF2A" ma:contentTypeVersion="11" ma:contentTypeDescription="Create a new document." ma:contentTypeScope="" ma:versionID="3b4ad7dd1fd255321a1d827123b3e054">
  <xsd:schema xmlns:xsd="http://www.w3.org/2001/XMLSchema" xmlns:xs="http://www.w3.org/2001/XMLSchema" xmlns:p="http://schemas.microsoft.com/office/2006/metadata/properties" xmlns:ns2="6159d659-e0a4-4864-be6f-64004e4296ac" xmlns:ns3="afe32d71-a79a-4eb7-b0d1-0d5e8c612873" targetNamespace="http://schemas.microsoft.com/office/2006/metadata/properties" ma:root="true" ma:fieldsID="cfce6d85d334d7b8655418033282bd6d" ns2:_="" ns3:_="">
    <xsd:import namespace="6159d659-e0a4-4864-be6f-64004e4296ac"/>
    <xsd:import namespace="afe32d71-a79a-4eb7-b0d1-0d5e8c612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d659-e0a4-4864-be6f-64004e42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2d71-a79a-4eb7-b0d1-0d5e8c612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1189-3A9F-45C7-9C51-40730F5E7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F42D3-4D0A-4F84-99E7-F75BAD59B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6325B-094E-4890-8153-DBF269C9C348}"/>
</file>

<file path=customXml/itemProps4.xml><?xml version="1.0" encoding="utf-8"?>
<ds:datastoreItem xmlns:ds="http://schemas.openxmlformats.org/officeDocument/2006/customXml" ds:itemID="{50950E13-48C0-4AB2-BD75-AB0EA16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Roebuck</dc:creator>
  <cp:keywords/>
  <dc:description/>
  <cp:lastModifiedBy>Binfield, Michelle</cp:lastModifiedBy>
  <cp:revision>10</cp:revision>
  <dcterms:created xsi:type="dcterms:W3CDTF">2021-05-13T17:17:00Z</dcterms:created>
  <dcterms:modified xsi:type="dcterms:W3CDTF">2021-05-13T17:29:00Z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2021-03-09T10:15:11Z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c5bb80cb-04f2-43a2-b04a-be9aaa422819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0x0101007DBD0462B5A2B0419358144C4E4DAF2A</vt:lpwstr>
  </property>
</Properties>
</file>